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Zymeworks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864" w:type="dxa"/>
        <w:tblCellMar>
          <w:top w:w="0" w:type="dxa"/>
          <w:left w:w="0" w:type="dxa"/>
          <w:bottom w:w="0" w:type="dxa"/>
          <w:right w:w="0" w:type="dxa"/>
        </w:tblCellMar>
      </w:tblPr>
      <w:tr>
        <w:trPr>
          <w:trHeight w:val="214"/>
        </w:trPr>
        <w:tc>
          <w:tcPr>
            <w:tcW w:w="4180" w:type="dxa"/>
            <w:vAlign w:val="bottom"/>
          </w:tcPr>
          <w:p>
            <w:pPr>
              <w:jc w:val="center"/>
              <w:ind w:right="2079"/>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001-38068</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98-1398788</w:t>
            </w:r>
          </w:p>
        </w:tc>
      </w:tr>
      <w:tr>
        <w:trPr>
          <w:trHeight w:val="148"/>
        </w:trPr>
        <w:tc>
          <w:tcPr>
            <w:tcW w:w="4180" w:type="dxa"/>
            <w:vAlign w:val="bottom"/>
          </w:tcPr>
          <w:p>
            <w:pPr>
              <w:jc w:val="center"/>
              <w:ind w:right="20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180" w:type="dxa"/>
            <w:vAlign w:val="bottom"/>
          </w:tcPr>
          <w:p>
            <w:pPr>
              <w:jc w:val="center"/>
              <w:ind w:right="20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500" w:type="dxa"/>
            <w:vAlign w:val="bottom"/>
            <w:gridSpan w:val="2"/>
          </w:tcPr>
          <w:p>
            <w:pPr>
              <w:jc w:val="center"/>
              <w:ind w:right="762"/>
              <w:spacing w:after="0"/>
              <w:rPr>
                <w:sz w:val="20"/>
                <w:szCs w:val="20"/>
                <w:color w:val="auto"/>
              </w:rPr>
            </w:pPr>
            <w:r>
              <w:rPr>
                <w:rFonts w:ascii="Times New Roman" w:cs="Times New Roman" w:eastAsia="Times New Roman" w:hAnsi="Times New Roman"/>
                <w:sz w:val="18"/>
                <w:szCs w:val="18"/>
                <w:b w:val="1"/>
                <w:bCs w:val="1"/>
                <w:color w:val="auto"/>
                <w:w w:val="98"/>
              </w:rPr>
              <w:t>Suite 800, 114 East 4th Avenue, Vancouver, British Columbia,</w:t>
            </w:r>
          </w:p>
        </w:tc>
        <w:tc>
          <w:tcPr>
            <w:tcW w:w="2460" w:type="dxa"/>
            <w:vAlign w:val="bottom"/>
          </w:tcPr>
          <w:p>
            <w:pPr>
              <w:spacing w:after="0"/>
              <w:rPr>
                <w:sz w:val="24"/>
                <w:szCs w:val="24"/>
                <w:color w:val="auto"/>
              </w:rPr>
            </w:pPr>
          </w:p>
        </w:tc>
      </w:tr>
      <w:tr>
        <w:trPr>
          <w:trHeight w:val="227"/>
        </w:trPr>
        <w:tc>
          <w:tcPr>
            <w:tcW w:w="4180" w:type="dxa"/>
            <w:vAlign w:val="bottom"/>
          </w:tcPr>
          <w:p>
            <w:pPr>
              <w:jc w:val="center"/>
              <w:ind w:left="1379"/>
              <w:spacing w:after="0"/>
              <w:rPr>
                <w:sz w:val="20"/>
                <w:szCs w:val="20"/>
                <w:color w:val="auto"/>
              </w:rPr>
            </w:pPr>
            <w:r>
              <w:rPr>
                <w:rFonts w:ascii="Times New Roman" w:cs="Times New Roman" w:eastAsia="Times New Roman" w:hAnsi="Times New Roman"/>
                <w:sz w:val="18"/>
                <w:szCs w:val="18"/>
                <w:b w:val="1"/>
                <w:bCs w:val="1"/>
                <w:color w:val="auto"/>
                <w:w w:val="99"/>
              </w:rPr>
              <w:t>Canada</w:t>
            </w:r>
          </w:p>
        </w:tc>
        <w:tc>
          <w:tcPr>
            <w:tcW w:w="2320" w:type="dxa"/>
            <w:vAlign w:val="bottom"/>
          </w:tcPr>
          <w:p>
            <w:pPr>
              <w:spacing w:after="0"/>
              <w:rPr>
                <w:sz w:val="19"/>
                <w:szCs w:val="19"/>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8"/>
                <w:szCs w:val="18"/>
                <w:b w:val="1"/>
                <w:bCs w:val="1"/>
                <w:color w:val="auto"/>
                <w:w w:val="99"/>
              </w:rPr>
              <w:t>V5T 1G4</w:t>
            </w:r>
          </w:p>
        </w:tc>
      </w:tr>
      <w:tr>
        <w:trPr>
          <w:trHeight w:val="190"/>
        </w:trPr>
        <w:tc>
          <w:tcPr>
            <w:tcW w:w="4180" w:type="dxa"/>
            <w:vAlign w:val="bottom"/>
          </w:tcPr>
          <w:p>
            <w:pPr>
              <w:jc w:val="center"/>
              <w:ind w:left="13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(604) 678-1388</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Shares, no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ZYME</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October 3, 2022, Zymeworks Inc. (“Zymeworks”) issued a press release announcing that management will participate in the following upcoming investor conferences:</w:t>
      </w:r>
    </w:p>
    <w:p>
      <w:pPr>
        <w:spacing w:after="0" w:line="63" w:lineRule="exact"/>
        <w:rPr>
          <w:sz w:val="20"/>
          <w:szCs w:val="20"/>
          <w:color w:val="auto"/>
        </w:rPr>
      </w:pPr>
    </w:p>
    <w:p>
      <w:pPr>
        <w:ind w:left="960" w:right="120" w:hanging="424"/>
        <w:spacing w:after="0" w:line="23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Stifel 2022 Healthcare Conference</w:t>
      </w:r>
      <w:r>
        <w:rPr>
          <w:rFonts w:ascii="Times New Roman" w:cs="Times New Roman" w:eastAsia="Times New Roman" w:hAnsi="Times New Roman"/>
          <w:sz w:val="18"/>
          <w:szCs w:val="18"/>
          <w:color w:val="auto"/>
        </w:rPr>
        <w:t>. Zymeworks’ management will participate in one-on-one meetings and present on November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in New York, NY.</w:t>
      </w:r>
    </w:p>
    <w:p>
      <w:pPr>
        <w:spacing w:after="0" w:line="1" w:lineRule="exact"/>
        <w:rPr>
          <w:rFonts w:ascii="Times New Roman" w:cs="Times New Roman" w:eastAsia="Times New Roman" w:hAnsi="Times New Roman"/>
          <w:sz w:val="18"/>
          <w:szCs w:val="18"/>
          <w:color w:val="auto"/>
        </w:rPr>
      </w:pPr>
    </w:p>
    <w:p>
      <w:pPr>
        <w:ind w:left="960" w:right="60" w:hanging="424"/>
        <w:spacing w:after="0" w:line="280"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Jefferies London Healthcare Conference</w:t>
      </w:r>
      <w:r>
        <w:rPr>
          <w:rFonts w:ascii="Times New Roman" w:cs="Times New Roman" w:eastAsia="Times New Roman" w:hAnsi="Times New Roman"/>
          <w:sz w:val="18"/>
          <w:szCs w:val="18"/>
          <w:color w:val="auto"/>
        </w:rPr>
        <w:t>. Zymeworks’ management will participate in one-on-one meetings and present on November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in London, United Kingdom.</w:t>
      </w:r>
    </w:p>
    <w:p>
      <w:pPr>
        <w:spacing w:after="0" w:line="34"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8"/>
          <w:szCs w:val="18"/>
          <w:color w:val="auto"/>
        </w:rPr>
        <w:t xml:space="preserve">This press release also announced that Zymeworks will present an update on its preclinical research programs at an </w:t>
      </w:r>
      <w:r>
        <w:rPr>
          <w:rFonts w:ascii="Times New Roman" w:cs="Times New Roman" w:eastAsia="Times New Roman" w:hAnsi="Times New Roman"/>
          <w:sz w:val="18"/>
          <w:szCs w:val="18"/>
          <w:b w:val="1"/>
          <w:bCs w:val="1"/>
          <w:color w:val="auto"/>
        </w:rPr>
        <w:t>Early R&amp;D day on October 20</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2022, in New York, NY</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On October 3, 2022, Zymeworks filed this press release with the Canadian securities regulatory authorities on the System for Electronic Document Analysis and Retrieval at </w:t>
      </w:r>
      <w:r>
        <w:rPr>
          <w:rFonts w:ascii="Times New Roman" w:cs="Times New Roman" w:eastAsia="Times New Roman" w:hAnsi="Times New Roman"/>
          <w:sz w:val="18"/>
          <w:szCs w:val="18"/>
          <w:u w:val="single" w:color="auto"/>
          <w:color w:val="auto"/>
        </w:rPr>
        <w:t>www.sedar.com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this press release is attached as Exhibit 99.1 hereto.</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under this Item 7.01 of this Current Report on Form 8-K and Exhibit 99.1 attached hereto are being furnished and shall not be deemed “filed” for the purposes of Section 18 of the Securities Exchange Act of 1934 (the “Exchange Act”), or otherwise subject to the liability of that section, nor shall such information be deemed incorporated by reference in any filing under the Exchange Act or the Securities Act of 1933, as amended, regardless of the general incorporation language of such filing, except as shall be expressly set forth by specific reference in such filing.</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October 3, 2022.</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as Inline XBRL document).</w:t>
      </w:r>
    </w:p>
    <w:p>
      <w:pPr>
        <w:sectPr>
          <w:pgSz w:w="11900" w:h="16838" w:orient="portrait"/>
          <w:cols w:equalWidth="0" w:num="1">
            <w:col w:w="10880"/>
          </w:cols>
          <w:pgMar w:left="440" w:top="293" w:right="5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860" w:type="dxa"/>
            <w:vAlign w:val="bottom"/>
            <w:tcBorders>
              <w:bottom w:val="single" w:sz="8" w:color="auto"/>
            </w:tcBorders>
          </w:tcPr>
          <w:p>
            <w:pPr>
              <w:jc w:val="center"/>
              <w:ind w:right="550"/>
              <w:spacing w:after="0"/>
              <w:rPr>
                <w:sz w:val="20"/>
                <w:szCs w:val="20"/>
                <w:color w:val="auto"/>
              </w:rPr>
            </w:pPr>
            <w:r>
              <w:rPr>
                <w:rFonts w:ascii="Times New Roman" w:cs="Times New Roman" w:eastAsia="Times New Roman" w:hAnsi="Times New Roman"/>
                <w:sz w:val="18"/>
                <w:szCs w:val="18"/>
                <w:b w:val="1"/>
                <w:bCs w:val="1"/>
                <w:i w:val="1"/>
                <w:iCs w:val="1"/>
                <w:color w:val="auto"/>
                <w:w w:val="99"/>
              </w:rPr>
              <w:t>ZYMEWORKS INC.</w:t>
            </w:r>
          </w:p>
        </w:tc>
      </w:tr>
      <w:tr>
        <w:trPr>
          <w:trHeight w:val="228"/>
        </w:trPr>
        <w:tc>
          <w:tcPr>
            <w:tcW w:w="3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8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27"/>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 2022</w:t>
            </w:r>
          </w:p>
        </w:tc>
        <w:tc>
          <w:tcPr>
            <w:tcW w:w="26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Neil A. Klompas</w:t>
            </w:r>
          </w:p>
        </w:tc>
      </w:tr>
      <w:tr>
        <w:trPr>
          <w:trHeight w:val="205"/>
        </w:trPr>
        <w:tc>
          <w:tcPr>
            <w:tcW w:w="3560" w:type="dxa"/>
            <w:vAlign w:val="bottom"/>
          </w:tcPr>
          <w:p>
            <w:pPr>
              <w:spacing w:after="0"/>
              <w:rPr>
                <w:sz w:val="17"/>
                <w:szCs w:val="17"/>
                <w:color w:val="auto"/>
              </w:rPr>
            </w:pPr>
          </w:p>
        </w:tc>
        <w:tc>
          <w:tcPr>
            <w:tcW w:w="2600" w:type="dxa"/>
            <w:vAlign w:val="bottom"/>
            <w:gridSpan w:val="2"/>
          </w:tcPr>
          <w:p>
            <w:pPr>
              <w:ind w:left="19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Neil A. Klompas</w:t>
            </w:r>
          </w:p>
        </w:tc>
      </w:tr>
      <w:tr>
        <w:trPr>
          <w:trHeight w:val="234"/>
        </w:trPr>
        <w:tc>
          <w:tcPr>
            <w:tcW w:w="3560" w:type="dxa"/>
            <w:vAlign w:val="bottom"/>
          </w:tcPr>
          <w:p>
            <w:pPr>
              <w:spacing w:after="0"/>
              <w:rPr>
                <w:sz w:val="20"/>
                <w:szCs w:val="20"/>
                <w:color w:val="auto"/>
              </w:rPr>
            </w:pPr>
          </w:p>
        </w:tc>
        <w:tc>
          <w:tcPr>
            <w:tcW w:w="260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Operating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2503170</wp:posOffset>
            </wp:positionH>
            <wp:positionV relativeFrom="paragraph">
              <wp:posOffset>173990</wp:posOffset>
            </wp:positionV>
            <wp:extent cx="1997075" cy="900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97075"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Zymeworks Announces Participation in Upcoming Investor Conferences and Early Research &amp; Development Day</w:t>
      </w:r>
    </w:p>
    <w:p>
      <w:pPr>
        <w:spacing w:after="0" w:line="225" w:lineRule="exact"/>
        <w:rPr>
          <w:sz w:val="20"/>
          <w:szCs w:val="20"/>
          <w:color w:val="auto"/>
        </w:rPr>
      </w:pPr>
    </w:p>
    <w:p>
      <w:pPr>
        <w:ind w:left="4"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Vancouver, British Columbia and Seattle, Washington (October 03, 2022) </w:t>
      </w:r>
      <w:r>
        <w:rPr>
          <w:rFonts w:ascii="Times New Roman" w:cs="Times New Roman" w:eastAsia="Times New Roman" w:hAnsi="Times New Roman"/>
          <w:sz w:val="18"/>
          <w:szCs w:val="18"/>
          <w:color w:val="auto"/>
        </w:rPr>
        <w:t>– Zymeworks Inc. (NYSE: ZYME), a clinical-stage biopharmaceutical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developing next-generation multifunctional biotherapeutics, today announced that management will participate in upcoming investor conferences:</w:t>
      </w:r>
    </w:p>
    <w:p>
      <w:pPr>
        <w:spacing w:after="0" w:line="76" w:lineRule="exact"/>
        <w:rPr>
          <w:sz w:val="20"/>
          <w:szCs w:val="20"/>
          <w:color w:val="auto"/>
        </w:rPr>
      </w:pPr>
    </w:p>
    <w:p>
      <w:pPr>
        <w:ind w:left="964" w:right="220" w:hanging="424"/>
        <w:spacing w:after="0" w:line="231"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Stifel 2022 Healthcare Conference</w:t>
      </w:r>
      <w:r>
        <w:rPr>
          <w:rFonts w:ascii="Times New Roman" w:cs="Times New Roman" w:eastAsia="Times New Roman" w:hAnsi="Times New Roman"/>
          <w:sz w:val="18"/>
          <w:szCs w:val="18"/>
          <w:color w:val="auto"/>
        </w:rPr>
        <w:t>. Zymeworks’ management will participate in one-on-one meetings and present on November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in New York, NY.</w:t>
      </w:r>
    </w:p>
    <w:p>
      <w:pPr>
        <w:spacing w:after="0" w:line="1" w:lineRule="exact"/>
        <w:rPr>
          <w:rFonts w:ascii="Times New Roman" w:cs="Times New Roman" w:eastAsia="Times New Roman" w:hAnsi="Times New Roman"/>
          <w:sz w:val="18"/>
          <w:szCs w:val="18"/>
          <w:color w:val="auto"/>
        </w:rPr>
      </w:pPr>
    </w:p>
    <w:p>
      <w:pPr>
        <w:ind w:left="964" w:right="200" w:hanging="424"/>
        <w:spacing w:after="0" w:line="280" w:lineRule="auto"/>
        <w:tabs>
          <w:tab w:leader="none" w:pos="9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Jefferies London Healthcare Conference</w:t>
      </w:r>
      <w:r>
        <w:rPr>
          <w:rFonts w:ascii="Times New Roman" w:cs="Times New Roman" w:eastAsia="Times New Roman" w:hAnsi="Times New Roman"/>
          <w:sz w:val="18"/>
          <w:szCs w:val="18"/>
          <w:color w:val="auto"/>
        </w:rPr>
        <w:t>. Zymeworks’ management will participate in one-on-one meetings and present on November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 17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in London, United Kingdom.</w:t>
      </w:r>
    </w:p>
    <w:p>
      <w:pPr>
        <w:spacing w:after="0" w:line="34" w:lineRule="exact"/>
        <w:rPr>
          <w:sz w:val="20"/>
          <w:szCs w:val="20"/>
          <w:color w:val="auto"/>
        </w:rPr>
      </w:pPr>
    </w:p>
    <w:p>
      <w:pPr>
        <w:ind w:left="4" w:right="40"/>
        <w:spacing w:after="0" w:line="225" w:lineRule="auto"/>
        <w:rPr>
          <w:sz w:val="20"/>
          <w:szCs w:val="20"/>
          <w:color w:val="auto"/>
        </w:rPr>
      </w:pPr>
      <w:r>
        <w:rPr>
          <w:rFonts w:ascii="Times New Roman" w:cs="Times New Roman" w:eastAsia="Times New Roman" w:hAnsi="Times New Roman"/>
          <w:sz w:val="18"/>
          <w:szCs w:val="18"/>
          <w:color w:val="auto"/>
        </w:rPr>
        <w:t xml:space="preserve">In addition, Zymeworks will present an update on its preclinical research programs at an </w:t>
      </w:r>
      <w:r>
        <w:rPr>
          <w:rFonts w:ascii="Times New Roman" w:cs="Times New Roman" w:eastAsia="Times New Roman" w:hAnsi="Times New Roman"/>
          <w:sz w:val="18"/>
          <w:szCs w:val="18"/>
          <w:b w:val="1"/>
          <w:bCs w:val="1"/>
          <w:color w:val="auto"/>
        </w:rPr>
        <w:t>Early R&amp;D day on October 20</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2022, in New York, NY</w:t>
      </w:r>
      <w:r>
        <w:rPr>
          <w:rFonts w:ascii="Times New Roman" w:cs="Times New Roman" w:eastAsia="Times New Roman" w:hAnsi="Times New Roman"/>
          <w:sz w:val="18"/>
          <w:szCs w:val="18"/>
          <w:color w:val="auto"/>
        </w:rPr>
        <w:t>. At this event, led by Paul Moore, PhD, Zymeworks’ Chief Scientific Officer, we plan to present data from multiple preclinical product candidates built upon our industry-leading multispecific and next-generation TOPO1i based ADC platforms as well as an update to our future scientific vision.</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All presentations and webcasts will be available on Zymeworks’ website at </w:t>
      </w:r>
      <w:r>
        <w:rPr>
          <w:rFonts w:ascii="Times New Roman" w:cs="Times New Roman" w:eastAsia="Times New Roman" w:hAnsi="Times New Roman"/>
          <w:sz w:val="18"/>
          <w:szCs w:val="18"/>
          <w:u w:val="single" w:color="auto"/>
          <w:color w:val="auto"/>
        </w:rPr>
        <w:t>http://ir.zymeworks.com/events-and-presentations</w:t>
      </w:r>
      <w:r>
        <w:rPr>
          <w:rFonts w:ascii="Times New Roman" w:cs="Times New Roman" w:eastAsia="Times New Roman" w:hAnsi="Times New Roman"/>
          <w:sz w:val="18"/>
          <w:szCs w:val="18"/>
          <w:color w:val="auto"/>
        </w:rPr>
        <w: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Zymeworks Inc.</w:t>
      </w:r>
    </w:p>
    <w:p>
      <w:pPr>
        <w:spacing w:after="0" w:line="121" w:lineRule="exact"/>
        <w:rPr>
          <w:sz w:val="20"/>
          <w:szCs w:val="20"/>
          <w:color w:val="auto"/>
        </w:rPr>
      </w:pPr>
    </w:p>
    <w:p>
      <w:pPr>
        <w:ind w:left="4" w:right="40"/>
        <w:spacing w:after="0" w:line="231" w:lineRule="auto"/>
        <w:rPr>
          <w:sz w:val="20"/>
          <w:szCs w:val="20"/>
          <w:color w:val="auto"/>
        </w:rPr>
      </w:pPr>
      <w:r>
        <w:rPr>
          <w:rFonts w:ascii="Times New Roman" w:cs="Times New Roman" w:eastAsia="Times New Roman" w:hAnsi="Times New Roman"/>
          <w:sz w:val="18"/>
          <w:szCs w:val="18"/>
          <w:color w:val="auto"/>
        </w:rPr>
        <w:t>Zymeworks is a clinical-stage biopharmaceutical company dedicated to the discovery, development and commercialization of next-generation multifunctional biotherapeutics. Zymeworks’ suite of therapeutic platforms and its fully integrated drug development engine enable precise engineering of highly differentiated product candidates. Zymeworks’ lead clinical candidate, zanidatamab, is a novel Azymetric</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HER2-targeted bispecific antibody currently being evaluated in multiple Phase 1, Phase 2, and pivotal clinical trials globally as a targeted treatment option for patients with solid tumors that express HER2. Zymeworks’ second clinical candidate, zanidatamab zovodotin (ZW49), is a novel bispecific HER2 -targeted antibody-drug conjugate currently in Phase 1 clinical development and combines the unique design and antibody framework of zanidatamab with Zymeworks’ proprietary ZymeLink</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linker and cytotoxin. Zymeworks is also advancing a deep preclinical pipeline in oncology (including immuno-oncology agents) and other therapeutic areas. In addition, its therapeutic platforms are being leveraged through strategic partnerships with global biopharmaceutical companies. For more information on our ongoing clinical trials visit </w:t>
      </w:r>
      <w:r>
        <w:rPr>
          <w:rFonts w:ascii="Times New Roman" w:cs="Times New Roman" w:eastAsia="Times New Roman" w:hAnsi="Times New Roman"/>
          <w:sz w:val="18"/>
          <w:szCs w:val="18"/>
          <w:u w:val="single" w:color="auto"/>
          <w:color w:val="auto"/>
        </w:rPr>
        <w:t>www.zymeworksclinicaltrials.com</w:t>
      </w:r>
      <w:r>
        <w:rPr>
          <w:rFonts w:ascii="Times New Roman" w:cs="Times New Roman" w:eastAsia="Times New Roman" w:hAnsi="Times New Roman"/>
          <w:sz w:val="18"/>
          <w:szCs w:val="18"/>
          <w:color w:val="auto"/>
        </w:rPr>
        <w:t xml:space="preserve">. For additional information about Zymeworks, visit </w:t>
      </w:r>
      <w:r>
        <w:rPr>
          <w:rFonts w:ascii="Times New Roman" w:cs="Times New Roman" w:eastAsia="Times New Roman" w:hAnsi="Times New Roman"/>
          <w:sz w:val="18"/>
          <w:szCs w:val="18"/>
          <w:u w:val="single" w:color="auto"/>
          <w:color w:val="auto"/>
        </w:rPr>
        <w:t>www.zymeworks.com</w:t>
      </w:r>
      <w:r>
        <w:rPr>
          <w:rFonts w:ascii="Times New Roman" w:cs="Times New Roman" w:eastAsia="Times New Roman" w:hAnsi="Times New Roman"/>
          <w:sz w:val="18"/>
          <w:szCs w:val="18"/>
          <w:color w:val="auto"/>
        </w:rPr>
        <w:t xml:space="preserve"> and follow </w:t>
      </w:r>
      <w:r>
        <w:rPr>
          <w:rFonts w:ascii="Times New Roman" w:cs="Times New Roman" w:eastAsia="Times New Roman" w:hAnsi="Times New Roman"/>
          <w:sz w:val="18"/>
          <w:szCs w:val="18"/>
          <w:u w:val="single" w:color="auto"/>
          <w:color w:val="auto"/>
        </w:rPr>
        <w:t>@ZymeworksInc</w:t>
      </w:r>
      <w:r>
        <w:rPr>
          <w:rFonts w:ascii="Times New Roman" w:cs="Times New Roman" w:eastAsia="Times New Roman" w:hAnsi="Times New Roman"/>
          <w:sz w:val="18"/>
          <w:szCs w:val="18"/>
          <w:color w:val="auto"/>
        </w:rPr>
        <w:t xml:space="preserve"> on Twitter.</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 Inquiries: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Jack Spinks</w:t>
      </w:r>
    </w:p>
    <w:p>
      <w:pPr>
        <w:spacing w:after="0" w:line="9" w:lineRule="exact"/>
        <w:rPr>
          <w:sz w:val="20"/>
          <w:szCs w:val="20"/>
          <w:color w:val="auto"/>
        </w:rPr>
      </w:pPr>
    </w:p>
    <w:p>
      <w:pPr>
        <w:ind w:left="4" w:right="9560" w:hanging="4"/>
        <w:spacing w:after="0" w:line="290" w:lineRule="auto"/>
        <w:tabs>
          <w:tab w:leader="none" w:pos="43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678-1388 </w:t>
      </w:r>
      <w:r>
        <w:rPr>
          <w:rFonts w:ascii="Times New Roman" w:cs="Times New Roman" w:eastAsia="Times New Roman" w:hAnsi="Times New Roman"/>
          <w:sz w:val="17"/>
          <w:szCs w:val="17"/>
          <w:u w:val="single" w:color="auto"/>
          <w:color w:val="auto"/>
        </w:rPr>
        <w:t>ir@zymeworks.com</w:t>
      </w:r>
    </w:p>
    <w:p>
      <w:pPr>
        <w:spacing w:after="0" w:line="4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Media Inquiries:</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Diana Papove</w:t>
      </w:r>
    </w:p>
    <w:p>
      <w:pPr>
        <w:spacing w:after="0" w:line="9" w:lineRule="exact"/>
        <w:rPr>
          <w:sz w:val="20"/>
          <w:szCs w:val="20"/>
          <w:color w:val="auto"/>
        </w:rPr>
      </w:pPr>
    </w:p>
    <w:p>
      <w:pPr>
        <w:ind w:left="4" w:right="9240" w:hanging="4"/>
        <w:spacing w:after="0" w:line="290" w:lineRule="auto"/>
        <w:tabs>
          <w:tab w:leader="none" w:pos="43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678-1388 </w:t>
      </w:r>
      <w:r>
        <w:rPr>
          <w:rFonts w:ascii="Times New Roman" w:cs="Times New Roman" w:eastAsia="Times New Roman" w:hAnsi="Times New Roman"/>
          <w:sz w:val="17"/>
          <w:szCs w:val="17"/>
          <w:u w:val="single" w:color="auto"/>
          <w:color w:val="auto"/>
        </w:rPr>
        <w:t>media@zymeworks.com</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604"/>
    </w:lvl>
  </w:abstractNum>
  <w:abstractNum w:abstractNumId="4">
    <w:nsid w:val="46E87CCD"/>
    <w:multiLevelType w:val="hybridMultilevel"/>
    <w:lvl w:ilvl="0">
      <w:lvlJc w:val="left"/>
      <w:lvlText w:val="(%1)"/>
      <w:numFmt w:val="decimal"/>
      <w:start w:val="60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2022-10-03T15:21:21Z</dcterms:created>
  <dcterms:modified xsi:type="dcterms:W3CDTF">2022-10-03T15:21:21Z</dcterms:modified>
</cp:coreProperties>
</file>