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13,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tbl>
      <w:tblPr>
        <w:tblLayout w:type="fixed"/>
        <w:tblInd w:w="2300" w:type="dxa"/>
        <w:tblCellMar>
          <w:top w:w="0" w:type="dxa"/>
          <w:left w:w="0" w:type="dxa"/>
          <w:bottom w:w="0" w:type="dxa"/>
          <w:right w:w="0" w:type="dxa"/>
        </w:tblCellMar>
      </w:tblPr>
      <w:tr>
        <w:trPr>
          <w:trHeight w:val="529"/>
        </w:trPr>
        <w:tc>
          <w:tcPr>
            <w:tcW w:w="1080" w:type="dxa"/>
            <w:vAlign w:val="bottom"/>
          </w:tcPr>
          <w:p>
            <w:pPr>
              <w:spacing w:after="0"/>
              <w:rPr>
                <w:sz w:val="24"/>
                <w:szCs w:val="24"/>
                <w:color w:val="auto"/>
              </w:rPr>
            </w:pPr>
          </w:p>
        </w:tc>
        <w:tc>
          <w:tcPr>
            <w:tcW w:w="5520" w:type="dxa"/>
            <w:vAlign w:val="bottom"/>
            <w:gridSpan w:val="3"/>
          </w:tcPr>
          <w:p>
            <w:pPr>
              <w:jc w:val="center"/>
              <w:ind w:right="1208"/>
              <w:spacing w:after="0"/>
              <w:rPr>
                <w:sz w:val="20"/>
                <w:szCs w:val="20"/>
                <w:color w:val="auto"/>
              </w:rPr>
            </w:pPr>
            <w:r>
              <w:rPr>
                <w:rFonts w:ascii="Times New Roman" w:cs="Times New Roman" w:eastAsia="Times New Roman" w:hAnsi="Times New Roman"/>
                <w:sz w:val="43"/>
                <w:szCs w:val="43"/>
                <w:b w:val="1"/>
                <w:bCs w:val="1"/>
                <w:color w:val="auto"/>
              </w:rPr>
              <w:t>ZYMEWORKS INC.</w:t>
            </w:r>
          </w:p>
        </w:tc>
      </w:tr>
      <w:tr>
        <w:trPr>
          <w:trHeight w:val="238"/>
        </w:trPr>
        <w:tc>
          <w:tcPr>
            <w:tcW w:w="1080" w:type="dxa"/>
            <w:vAlign w:val="bottom"/>
          </w:tcPr>
          <w:p>
            <w:pPr>
              <w:spacing w:after="0"/>
              <w:rPr>
                <w:sz w:val="20"/>
                <w:szCs w:val="20"/>
                <w:color w:val="auto"/>
              </w:rPr>
            </w:pPr>
          </w:p>
        </w:tc>
        <w:tc>
          <w:tcPr>
            <w:tcW w:w="5520" w:type="dxa"/>
            <w:vAlign w:val="bottom"/>
            <w:gridSpan w:val="3"/>
          </w:tcPr>
          <w:p>
            <w:pPr>
              <w:jc w:val="center"/>
              <w:ind w:right="118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57"/>
        </w:trPr>
        <w:tc>
          <w:tcPr>
            <w:tcW w:w="1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2240" w:type="dxa"/>
            <w:vAlign w:val="bottom"/>
          </w:tcPr>
          <w:p>
            <w:pPr>
              <w:spacing w:after="0"/>
              <w:rPr>
                <w:sz w:val="22"/>
                <w:szCs w:val="22"/>
                <w:color w:val="auto"/>
              </w:rPr>
            </w:pPr>
          </w:p>
        </w:tc>
      </w:tr>
      <w:tr>
        <w:trPr>
          <w:trHeight w:val="374"/>
        </w:trPr>
        <w:tc>
          <w:tcPr>
            <w:tcW w:w="108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20" w:type="dxa"/>
            <w:vAlign w:val="bottom"/>
            <w:gridSpan w:val="3"/>
          </w:tcPr>
          <w:p>
            <w:pPr>
              <w:jc w:val="center"/>
              <w:ind w:left="4283"/>
              <w:spacing w:after="0"/>
              <w:rPr>
                <w:sz w:val="20"/>
                <w:szCs w:val="20"/>
                <w:color w:val="auto"/>
              </w:rPr>
            </w:pPr>
            <w:r>
              <w:rPr>
                <w:rFonts w:ascii="Times New Roman" w:cs="Times New Roman" w:eastAsia="Times New Roman" w:hAnsi="Times New Roman"/>
                <w:sz w:val="18"/>
                <w:szCs w:val="18"/>
                <w:b w:val="1"/>
                <w:bCs w:val="1"/>
                <w:color w:val="auto"/>
              </w:rPr>
              <w:t>88-3099146</w:t>
            </w:r>
          </w:p>
        </w:tc>
      </w:tr>
      <w:tr>
        <w:trPr>
          <w:trHeight w:val="148"/>
        </w:trPr>
        <w:tc>
          <w:tcPr>
            <w:tcW w:w="10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0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8"/>
                <w:szCs w:val="18"/>
                <w:b w:val="1"/>
                <w:bCs w:val="1"/>
                <w:color w:val="auto"/>
                <w:w w:val="99"/>
              </w:rPr>
              <w:t>108 Patriot Drive, Suite A</w:t>
            </w:r>
          </w:p>
        </w:tc>
      </w:tr>
      <w:tr>
        <w:trPr>
          <w:trHeight w:val="214"/>
        </w:trPr>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8"/>
                <w:szCs w:val="18"/>
                <w:b w:val="1"/>
                <w:bCs w:val="1"/>
                <w:color w:val="auto"/>
                <w:w w:val="99"/>
              </w:rPr>
              <w:t>Middletown, Delaware 19709</w:t>
            </w:r>
          </w:p>
        </w:tc>
      </w:tr>
      <w:tr>
        <w:trPr>
          <w:trHeight w:val="190"/>
        </w:trPr>
        <w:tc>
          <w:tcPr>
            <w:tcW w:w="1080" w:type="dxa"/>
            <w:vAlign w:val="bottom"/>
          </w:tcPr>
          <w:p>
            <w:pPr>
              <w:spacing w:after="0"/>
              <w:rPr>
                <w:sz w:val="16"/>
                <w:szCs w:val="16"/>
                <w:color w:val="auto"/>
              </w:rPr>
            </w:pPr>
          </w:p>
        </w:tc>
        <w:tc>
          <w:tcPr>
            <w:tcW w:w="5520" w:type="dxa"/>
            <w:vAlign w:val="bottom"/>
            <w:gridSpan w:val="3"/>
          </w:tcPr>
          <w:p>
            <w:pPr>
              <w:jc w:val="center"/>
              <w:ind w:right="1208"/>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Offices)</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Stock Option and Equity Compensation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Employee Stock Purchase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Kenneth Galbraith</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Chair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 Patriot Drive, Suite 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Middletown, Delaware 19709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Tony Jeffries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Bryan D. King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177165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is being filed pursuant to Rule 414(d) under the Securities Act of 1933, as amended (the “Securities Act”), by Zymeworks Inc., a Delaware corporation (“Parent” or the “Registrant”), as successor issuer to Zymeworks Inc. (“Legacy Zymeworks”), a corporation which was, prior to the Redomicile Transactions (as defined below), continued under the Business Corporations Act (British Columbia). On October 13, 2022, Legacy Zymeworks completed a series of transactions, including a corporate redomicile (collectively, the “Redomicile Transactions”), pursuant to which Parent ultimately became the parent company of Legacy Zymeworks and its subsidiaries.</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Redomicile Transactions, Parent assumed all of Legacy Zymeworks’ rights and obligations under (1) the Second Amended and Restated Employee Stock Option Plan, (2) the Amended and Restated Stock Option and Equity Compensation Plan, (3) the Amended and Restated Employee Stock Purchase Plan and (4) the Inducement Stock Option and Equity Compensation Plan, in each case including all schedules and appendices thereto, as amended from time to time (collectively, the “Legacy Zymeworks Incentive Plans”), and all outstanding awards and grants under the Legacy Zymeworks Incentive Plans. Each outstanding Legacy Zymeworks incentive award was exchanged for a Parent incentive award that is subject to substantially the same terms and conditions except that the security issuable upon exercise or settlement of the Parent incentive award will be a share of Parent common stock rather than a Legacy Zymeworks common share.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pertains to the adoption by Parent of the Registration Statement on Form S-8 (Registration No. 333-263042) filed by Legacy Zymeworks with the Securities and Exchange Commission (the “Commission”) on February 25, 2022 (the “Legacy Registration Statement”). Parent hereby expressly adopts the Legacy Registration Statement as its own registration statement for all purposes of the Securities Act and the Securities Exchange Act of 1934, as amended (the “Exchange Act”).</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purposes of this Post-Effective Amendment No. 1 and the Legacy Registration Statement, as of any time prior to the Redomicile Transactions, references to the “Registrant,” “Zymeworks,” “Company,” “we,” “us,” “our” and similar terms mean Legacy Zymeworks and its consolidated subsidiaries and, as of any time after the Redomicile Transactions, mean Parent and its consolidated subsidiaries.</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documents filed by Legacy Zymeworks and the Registrant with the Commission are incorporated by reference:</w:t>
      </w:r>
    </w:p>
    <w:p>
      <w:pPr>
        <w:spacing w:after="0" w:line="131" w:lineRule="exact"/>
        <w:rPr>
          <w:sz w:val="20"/>
          <w:szCs w:val="20"/>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Legacy Zymeworks’ Annual Report on Form 10-K (File No. 001-38068) for the fiscal year ended December 31, 2021, filed with the Commission on </w:t>
      </w:r>
      <w:hyperlink r:id="rId17">
        <w:r>
          <w:rPr>
            <w:rFonts w:ascii="Times New Roman" w:cs="Times New Roman" w:eastAsia="Times New Roman" w:hAnsi="Times New Roman"/>
            <w:sz w:val="18"/>
            <w:szCs w:val="18"/>
            <w:u w:val="single" w:color="auto"/>
            <w:color w:val="0000EE"/>
          </w:rPr>
          <w:t>February 24, 2022</w:t>
        </w:r>
      </w:hyperlink>
      <w:r>
        <w:rPr>
          <w:rFonts w:ascii="Times New Roman" w:cs="Times New Roman" w:eastAsia="Times New Roman" w:hAnsi="Times New Roman"/>
          <w:sz w:val="18"/>
          <w:szCs w:val="18"/>
          <w:color w:val="auto"/>
        </w:rPr>
        <w:t xml:space="preserve">, as amended and filed with the Commission on </w:t>
      </w:r>
      <w:hyperlink r:id="rId18">
        <w:r>
          <w:rPr>
            <w:rFonts w:ascii="Times New Roman" w:cs="Times New Roman" w:eastAsia="Times New Roman" w:hAnsi="Times New Roman"/>
            <w:sz w:val="18"/>
            <w:szCs w:val="18"/>
            <w:u w:val="single" w:color="auto"/>
            <w:color w:val="0000EE"/>
          </w:rPr>
          <w:t>May 2,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Legacy Zymeworks and the Registrant pursuant to Section 13(a) or 15(d) of the Exchange Act since the end of the fiscal year covered by the Annual Report incorporated by reference herein pursuant to (a) above; and</w:t>
      </w:r>
    </w:p>
    <w:p>
      <w:pPr>
        <w:spacing w:after="0" w:line="67"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19">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Form 8-K12B, filed with the Commission on October 13, 2022,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All documents subsequently filed by Parent and Legacy Zymeworks pursuant to Sections 13(a), 13(c), 14 and 15(d) of the Exchange Act, prior to the filing of a post-effective amendment which indicates that all securities offered hereby have been sold or which deregisters all securities offered hereby then remaining unsold, shall be deemed to be incorporated by reference herein and shall be deemed to be a part hereof from the date of the filing of such documents; provided, however, that documents or information deemed to have been furnished and not filed in accordance with the rules of the Commission shall not be deemed incorporated by reference into this Post-Effective Amendment No. 1. Any statement contained in a document incorporated or deemed to be incorporated by reference herein shall be deemed to be modified or superseded for purposes of this Post-Effective Amendment No. 1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Post-Effective Amendment No. 1.</w:t>
      </w:r>
    </w:p>
    <w:p>
      <w:pPr>
        <w:spacing w:after="0" w:line="333" w:lineRule="exact"/>
        <w:rPr>
          <w:rFonts w:ascii="Times New Roman" w:cs="Times New Roman" w:eastAsia="Times New Roman" w:hAnsi="Times New Roman"/>
          <w:sz w:val="18"/>
          <w:szCs w:val="18"/>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the Registrant’s board of directors to grant, and authorizes a court to award, indemnity to officers, directors and other corporate agents.</w:t>
      </w:r>
    </w:p>
    <w:p>
      <w:pPr>
        <w:spacing w:after="0" w:line="162" w:lineRule="exact"/>
        <w:rPr>
          <w:rFonts w:ascii="Times New Roman" w:cs="Times New Roman" w:eastAsia="Times New Roman" w:hAnsi="Times New Roman"/>
          <w:sz w:val="18"/>
          <w:szCs w:val="18"/>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Registrant’s certificate of incorporation contains provisions that limit the liability of the Registrant’s directors and certain of the Registrant’s officers for monetary damages to the fullest extent permitted by the Delaware General Corporation Law. Consequently, the Registrant’s directors will not be personally liable to the Registrant’s or the Registrant’s stockholders for monetary damages for any breach of fiduciary duties as directors, except liability for the following:</w:t>
      </w:r>
    </w:p>
    <w:p>
      <w:pPr>
        <w:spacing w:after="0" w:line="85"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Registrant or the Registrant’s stockholders;</w:t>
      </w:r>
    </w:p>
    <w:p>
      <w:pPr>
        <w:spacing w:after="0" w:line="130" w:lineRule="exact"/>
        <w:rPr>
          <w:rFonts w:ascii="Times New Roman" w:cs="Times New Roman" w:eastAsia="Times New Roman" w:hAnsi="Times New Roman"/>
          <w:sz w:val="18"/>
          <w:szCs w:val="18"/>
          <w:color w:val="auto"/>
        </w:rPr>
      </w:pPr>
    </w:p>
    <w:p>
      <w:pPr>
        <w:ind w:left="5364" w:right="2300" w:hanging="4824"/>
        <w:spacing w:after="0" w:line="454" w:lineRule="auto"/>
        <w:tabs>
          <w:tab w:leader="none" w:pos="9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 II-1</w:t>
      </w:r>
    </w:p>
    <w:p>
      <w:pPr>
        <w:sectPr>
          <w:pgSz w:w="11900" w:h="16838" w:orient="portrait"/>
          <w:cols w:equalWidth="0" w:num="1">
            <w:col w:w="11004"/>
          </w:cols>
          <w:pgMar w:left="436" w:top="266" w:right="459" w:bottom="1440" w:gutter="0" w:footer="0" w:header="0"/>
        </w:sectPr>
      </w:pPr>
    </w:p>
    <w:bookmarkStart w:id="3" w:name="page4"/>
    <w:bookmarkEnd w:id="3"/>
    <w:p>
      <w:pPr>
        <w:ind w:left="960" w:right="6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Similarly, the Registrant’s officers who at the time of an act or omission as to which liability is asserted consented to or are deemed to have consented to certain service of process rules under Delaware law will not be personally liable to the Registrant or the Registrant’s stockholders for monetary damages for any breach of fiduciary duties as officers, except for liability in connection with:</w:t>
      </w:r>
    </w:p>
    <w:p>
      <w:pPr>
        <w:spacing w:after="0" w:line="81"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Registrant or the Registrant’s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or in the right of the corporation.</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corporations, then the personal liability of the Registrant’s directors and officers will be further limited to the greatest extent permitted by the Delaware General Corporation Law.</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Registrant’s bylaws provide that the Registrant will indemnify its directors and officers, and may indemnify its employees, agents and any other persons, to the fullest extent permitted by the Delaware General Corporation Law. The Registrant’s bylaws also provide that the Registrant must advance expenses incurred by or on behalf of a director or officer in advance of the final disposition of any action or proceeding, subject to limited exceptions.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to, among other things, indemnify the Registrant’s directors and executive officers against liabilities that may arise by reason of their status or service. These indemnification agreements also generally require the Registrant to advance all expenses reasonably and actually incurred by the Registrant’s directors and executive officers in investigating or defending any such action, suit or proceeding. The Registrant believe that these agreements are necessary to attract and retain qualified individuals to serve as directors and executive officers.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Registrant’s certificate of incorporation, bylaws and indemnification agreements may discourage stockholders from bringing a lawsuit against the Registrant’s directors and officers for breach of their fiduciary duties. They may also reduce the likelihood of derivative litigation against the Registrant’s directors and officers, even though an action, if successful, might benefit the Registrant and other stockholders. Further, a stockholder’s investment may be adversely affected to the extent that the Registrant pays the costs of settlement and damage awards against the Registrant’s directors and officers as required by these indemnification provisions.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subject to the limitations of the policies, coverage is provided to the Registrant’s directors and officers against loss arising from claims made by reason of breach of fiduciary duty or other wrongful acts as a director or officer, including claims relating to public securities matters, and to the Registrant with respect to payments that may be made by the Registrant to its directors and officers pursuant to the Registrant’s indemnification obligations or otherwise as a matter of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00"/>
          </w:cols>
          <w:pgMar w:left="440" w:top="270" w:right="45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5540" w:type="dxa"/>
            <w:vAlign w:val="bottom"/>
            <w:gridSpan w:val="11"/>
          </w:tcPr>
          <w:p>
            <w:pPr>
              <w:ind w:left="22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5540" w:type="dxa"/>
            <w:vAlign w:val="bottom"/>
            <w:gridSpan w:val="11"/>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2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5"/>
        </w:trPr>
        <w:tc>
          <w:tcPr>
            <w:tcW w:w="8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20" w:type="dxa"/>
            <w:vAlign w:val="bottom"/>
            <w:gridSpan w:val="8"/>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vMerge w:val="restart"/>
          </w:tcPr>
          <w:p>
            <w:pPr>
              <w:spacing w:after="0"/>
              <w:rPr>
                <w:sz w:val="10"/>
                <w:szCs w:val="10"/>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vMerge w:val="restart"/>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20" w:type="dxa"/>
            <w:vAlign w:val="bottom"/>
            <w:gridSpan w:val="8"/>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70"/>
        </w:trPr>
        <w:tc>
          <w:tcPr>
            <w:tcW w:w="4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23"/>
                <w:szCs w:val="23"/>
                <w:color w:val="auto"/>
              </w:rPr>
            </w:pPr>
          </w:p>
        </w:tc>
        <w:tc>
          <w:tcPr>
            <w:tcW w:w="4000" w:type="dxa"/>
            <w:vAlign w:val="bottom"/>
            <w:tcBorders>
              <w:top w:val="single" w:sz="8" w:color="auto"/>
              <w:bottom w:val="single" w:sz="8" w:color="0000EE"/>
            </w:tcBorders>
            <w:gridSpan w:val="7"/>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Specimen common stock certificate of Zymeworks Inc.</w:t>
              </w:r>
            </w:hyperlink>
          </w:p>
        </w:tc>
        <w:tc>
          <w:tcPr>
            <w:tcW w:w="1340" w:type="dxa"/>
            <w:vAlign w:val="bottom"/>
            <w:tcBorders>
              <w:top w:val="single" w:sz="8" w:color="auto"/>
            </w:tcBorders>
            <w:gridSpan w:val="3"/>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S-4/A</w:t>
            </w:r>
          </w:p>
        </w:tc>
        <w:tc>
          <w:tcPr>
            <w:tcW w:w="220" w:type="dxa"/>
            <w:vAlign w:val="bottom"/>
          </w:tcPr>
          <w:p>
            <w:pPr>
              <w:spacing w:after="0"/>
              <w:rPr>
                <w:sz w:val="23"/>
                <w:szCs w:val="23"/>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333-266160</w:t>
            </w:r>
          </w:p>
        </w:tc>
        <w:tc>
          <w:tcPr>
            <w:tcW w:w="220" w:type="dxa"/>
            <w:vAlign w:val="bottom"/>
          </w:tcPr>
          <w:p>
            <w:pPr>
              <w:spacing w:after="0"/>
              <w:rPr>
                <w:sz w:val="23"/>
                <w:szCs w:val="23"/>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23"/>
                <w:szCs w:val="23"/>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August 19, 2022</w:t>
            </w:r>
          </w:p>
        </w:tc>
        <w:tc>
          <w:tcPr>
            <w:tcW w:w="22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24"/>
                <w:szCs w:val="24"/>
                <w:color w:val="auto"/>
              </w:rPr>
            </w:pPr>
          </w:p>
        </w:tc>
        <w:tc>
          <w:tcPr>
            <w:tcW w:w="5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Amended and Restated Stock Option and Equity Compensation Plan (and</w:t>
              </w:r>
            </w:hyperlink>
          </w:p>
        </w:tc>
        <w:tc>
          <w:tcPr>
            <w:tcW w:w="220" w:type="dxa"/>
            <w:vAlign w:val="bottom"/>
            <w:gridSpan w:val="2"/>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8-K12B</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001-41535</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13, 2022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forms of agreements thereunder)</w:t>
              </w:r>
            </w:hyperlink>
          </w:p>
        </w:tc>
        <w:tc>
          <w:tcPr>
            <w:tcW w:w="318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24"/>
                <w:szCs w:val="24"/>
                <w:color w:val="auto"/>
              </w:rPr>
            </w:pPr>
          </w:p>
        </w:tc>
        <w:tc>
          <w:tcPr>
            <w:tcW w:w="3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Amended and Restated Employee Stock Purchase Plan</w:t>
              </w:r>
            </w:hyperlink>
          </w:p>
        </w:tc>
        <w:tc>
          <w:tcPr>
            <w:tcW w:w="1580" w:type="dxa"/>
            <w:vAlign w:val="bottom"/>
            <w:gridSpan w:val="5"/>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8-K12B</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001-41535</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13, 2022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24"/>
                <w:szCs w:val="24"/>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P.C.</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23.1</w:t>
            </w:r>
          </w:p>
        </w:tc>
        <w:tc>
          <w:tcPr>
            <w:tcW w:w="400" w:type="dxa"/>
            <w:vAlign w:val="bottom"/>
          </w:tcPr>
          <w:p>
            <w:pPr>
              <w:spacing w:after="0"/>
              <w:rPr>
                <w:sz w:val="24"/>
                <w:szCs w:val="24"/>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Wilson Sonsini Goodrich &amp; Rosati, P.C. (included in Exhibit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r>
              <w:rPr>
                <w:rFonts w:ascii="Times New Roman" w:cs="Times New Roman" w:eastAsia="Times New Roman" w:hAnsi="Times New Roman"/>
                <w:sz w:val="18"/>
                <w:szCs w:val="18"/>
                <w:color w:val="0000EE"/>
                <w:w w:val="97"/>
              </w:rPr>
              <w:t xml:space="preserve"> hereto)</w:t>
            </w:r>
          </w:p>
        </w:tc>
        <w:tc>
          <w:tcPr>
            <w:tcW w:w="4420" w:type="dxa"/>
            <w:vAlign w:val="bottom"/>
            <w:tcBorders>
              <w:top w:val="single" w:sz="8" w:color="0000EE"/>
            </w:tcBorders>
            <w:gridSpan w:val="7"/>
          </w:tcPr>
          <w:p>
            <w:pPr>
              <w:spacing w:after="0"/>
              <w:rPr>
                <w:sz w:val="17"/>
                <w:szCs w:val="17"/>
                <w:color w:val="auto"/>
              </w:rPr>
            </w:pPr>
          </w:p>
        </w:tc>
        <w:tc>
          <w:tcPr>
            <w:tcW w:w="3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23.2</w:t>
            </w:r>
          </w:p>
        </w:tc>
        <w:tc>
          <w:tcPr>
            <w:tcW w:w="400" w:type="dxa"/>
            <w:vAlign w:val="bottom"/>
          </w:tcPr>
          <w:p>
            <w:pPr>
              <w:spacing w:after="0"/>
              <w:rPr>
                <w:sz w:val="24"/>
                <w:szCs w:val="24"/>
                <w:color w:val="auto"/>
              </w:rPr>
            </w:pPr>
          </w:p>
        </w:tc>
        <w:tc>
          <w:tcPr>
            <w:tcW w:w="1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KPMG LLP</w:t>
            </w:r>
          </w:p>
        </w:tc>
        <w:tc>
          <w:tcPr>
            <w:tcW w:w="382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24.1</w:t>
            </w:r>
          </w:p>
        </w:tc>
        <w:tc>
          <w:tcPr>
            <w:tcW w:w="400" w:type="dxa"/>
            <w:vAlign w:val="bottom"/>
          </w:tcPr>
          <w:p>
            <w:pPr>
              <w:spacing w:after="0"/>
              <w:rPr>
                <w:sz w:val="24"/>
                <w:szCs w:val="24"/>
                <w:color w:val="auto"/>
              </w:rPr>
            </w:pPr>
          </w:p>
        </w:tc>
        <w:tc>
          <w:tcPr>
            <w:tcW w:w="39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hereto)</w:t>
            </w:r>
          </w:p>
        </w:tc>
        <w:tc>
          <w:tcPr>
            <w:tcW w:w="160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60" w:hanging="439"/>
        <w:spacing w:after="0" w:line="255" w:lineRule="auto"/>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80" w:hanging="439"/>
        <w:spacing w:after="0" w:line="282" w:lineRule="auto"/>
        <w:tabs>
          <w:tab w:leader="none" w:pos="142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24"/>
          </w:cols>
          <w:pgMar w:left="436" w:top="266" w:right="439" w:bottom="1440" w:gutter="0" w:footer="0" w:header="0"/>
        </w:sectPr>
      </w:pPr>
    </w:p>
    <w:bookmarkStart w:id="5" w:name="page6"/>
    <w:bookmarkEnd w:id="5"/>
    <w:p>
      <w:pPr>
        <w:ind w:left="4" w:right="3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ind w:left="964" w:hanging="532"/>
        <w:spacing w:after="0" w:line="266"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04"/>
          </w:cols>
          <w:pgMar w:left="436" w:top="268" w:right="45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be signed on its behalf by the undersigned, thereunto duly authorized, in the City of Middletown, State of Delaware, on October 13,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ZYMEWORKS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Kenneth Galbraith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Chair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Kenneth Galbraith, Christopher Astle and Neil Klompas as his or her true and lawful attorney-in-fact and agent, each acting alone, with full power of substitution and resubstitution, for him or her and in his or her name, place and stead, in any and all capacities, to sign any or all amendments (including post-effective amendments) to this Post-Effective Amendment No. 1,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each action alone, or his substitute or substitutes, may lawfully do or cause to be done by virtue hereof.</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1 has been signed by the following persons in the capacities and on the dates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84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Galbraith</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 and Chief Executive Officer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Kenneth Galbraith</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Astle</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Astle</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Lota Zoth</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Lota Zoth</w:t>
            </w: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Troy M. Cox</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Troy M. Cox</w:t>
            </w: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Hillan</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Kenneth Hillan</w:t>
            </w: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Mahony</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Susan Mahony</w:t>
            </w: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Kelvin Neu</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Kelvin Neu</w:t>
            </w: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Hollings C. Renton</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Hollings C. Renton</w:t>
            </w: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Natalie Sacks</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Natalie Sacks</w:t>
            </w:r>
          </w:p>
        </w:tc>
        <w:tc>
          <w:tcPr>
            <w:tcW w:w="4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48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II-5</w:t>
            </w:r>
          </w:p>
        </w:tc>
        <w:tc>
          <w:tcPr>
            <w:tcW w:w="1500" w:type="dxa"/>
            <w:vAlign w:val="bottom"/>
          </w:tcPr>
          <w:p>
            <w:pPr>
              <w:spacing w:after="0"/>
              <w:rPr>
                <w:sz w:val="24"/>
                <w:szCs w:val="24"/>
                <w:color w:val="auto"/>
              </w:rPr>
            </w:pPr>
          </w:p>
        </w:tc>
      </w:tr>
    </w:tbl>
    <w:p>
      <w:pPr>
        <w:sectPr>
          <w:pgSz w:w="11900" w:h="16838" w:orient="portrait"/>
          <w:cols w:equalWidth="0" w:num="1">
            <w:col w:w="10860"/>
          </w:cols>
          <w:pgMar w:left="440" w:top="266" w:right="599" w:bottom="1440" w:gutter="0" w:footer="0" w:header="0"/>
        </w:sectPr>
      </w:pPr>
    </w:p>
    <w:bookmarkStart w:id="7" w:name="page8"/>
    <w:bookmarkEnd w:id="7"/>
    <w:p>
      <w:pPr>
        <w:ind w:left="79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127698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76985" cy="531495"/>
                    </a:xfrm>
                    <a:prstGeom prst="rect">
                      <a:avLst/>
                    </a:prstGeom>
                    <a:noFill/>
                  </pic:spPr>
                </pic:pic>
              </a:graphicData>
            </a:graphic>
          </wp:anchor>
        </w:drawing>
      </w:r>
    </w:p>
    <w:p>
      <w:pPr>
        <w:spacing w:after="0" w:line="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650.493.6811</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13,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 Patriot Drive, Suite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Middletown, Delaware 19709</w:t>
      </w:r>
    </w:p>
    <w:p>
      <w:pPr>
        <w:spacing w:after="0" w:line="108"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Post-Effective Amendment No. 1 to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We have acted as counsel to Zymeworks Inc., a Delaware corporation (the “Company”), in connection with its filing on the date hereof with the Securities and Exchange Commission of Post-Effective Amendment No. 1 (the “Amendment”) to the Registration Statement on</w:t>
      </w:r>
    </w:p>
    <w:p>
      <w:pPr>
        <w:ind w:right="100"/>
        <w:spacing w:after="0" w:line="270" w:lineRule="auto"/>
        <w:rPr>
          <w:sz w:val="20"/>
          <w:szCs w:val="20"/>
          <w:color w:val="auto"/>
        </w:rPr>
      </w:pPr>
      <w:r>
        <w:rPr>
          <w:rFonts w:ascii="Times New Roman" w:cs="Times New Roman" w:eastAsia="Times New Roman" w:hAnsi="Times New Roman"/>
          <w:sz w:val="17"/>
          <w:szCs w:val="17"/>
          <w:color w:val="auto"/>
        </w:rPr>
        <w:t>Form S-8 (Registration No. 333-263042) previously filed by Zymeworks Inc., a corporation continued under the Business Corporations Act (British Columbia) and the Company’s predecessor, with respect to the adoption by the Company of such registration statement pursuant to Rule 414 under the Securities Act of 1933, as amended. In connection with such representation, the Company has advised us that shares of common stock of the Company, par value $0.00001 per share (“Shares”), may be issuable or become issuable pursuant to grants or awards under the Company’s Amended and Restated Stock Option and Equity Compensation Plan and Amended and Restated Employee Stock Purchase Plan (collectively, the “Plans”). As your legal counsel, we have reviewed the actions proposed to be taken by you in connection with the issuance and sale of the Shares to be issued under the Plans.</w:t>
      </w:r>
    </w:p>
    <w:p>
      <w:pPr>
        <w:spacing w:after="0" w:line="174"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It is our opinion that the Shares, when issued and sold in the manner referred to in the Plans and pursuant to the agreements that accompany the Plans, will be legally and validly issued, fully paid and nonassessable.</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Amendment, and further consent to the use of our name wherever appearing in the Amendment and any amendments thereto.</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1" w:lineRule="exact"/>
        <w:rPr>
          <w:sz w:val="20"/>
          <w:szCs w:val="20"/>
          <w:color w:val="auto"/>
        </w:rPr>
      </w:pPr>
    </w:p>
    <w:p>
      <w:pPr>
        <w:jc w:val="center"/>
        <w:spacing w:after="0"/>
        <w:tabs>
          <w:tab w:leader="none" w:pos="120" w:val="left"/>
          <w:tab w:leader="none" w:pos="140" w:val="left"/>
          <w:tab w:leader="none" w:pos="120" w:val="left"/>
          <w:tab w:leader="none" w:pos="140" w:val="left"/>
          <w:tab w:leader="none" w:pos="160" w:val="left"/>
          <w:tab w:leader="none" w:pos="120" w:val="left"/>
          <w:tab w:leader="none" w:pos="120" w:val="left"/>
          <w:tab w:leader="none" w:pos="140" w:val="left"/>
          <w:tab w:leader="none" w:pos="120" w:val="left"/>
        </w:tabs>
        <w:rPr>
          <w:sz w:val="20"/>
          <w:szCs w:val="20"/>
          <w:color w:val="auto"/>
        </w:rPr>
      </w:pPr>
      <w:r>
        <w:rPr>
          <w:rFonts w:ascii="Times New Roman" w:cs="Times New Roman" w:eastAsia="Times New Roman" w:hAnsi="Times New Roman"/>
          <w:sz w:val="14"/>
          <w:szCs w:val="14"/>
          <w:color w:val="auto"/>
        </w:rPr>
        <w:t>AUSTIN</w:t>
        <w:tab/>
        <w:t>BEIJING</w:t>
        <w:tab/>
        <w:t>BOSTON</w:t>
        <w:tab/>
        <w:t>BOULDER</w:t>
        <w:tab/>
        <w:t>BRUSSELS</w:t>
        <w:tab/>
        <w:t>HONG KONG</w:t>
        <w:tab/>
        <w:t>LONDON</w:t>
        <w:tab/>
        <w:t>LOS ANGELES</w:t>
        <w:tab/>
        <w:t>NEW YORK</w:t>
        <w:tab/>
        <w:t>PALO ALTO</w:t>
      </w:r>
    </w:p>
    <w:p>
      <w:pPr>
        <w:spacing w:after="0" w:line="96" w:lineRule="exact"/>
        <w:rPr>
          <w:sz w:val="20"/>
          <w:szCs w:val="20"/>
          <w:color w:val="auto"/>
        </w:rPr>
      </w:pPr>
    </w:p>
    <w:p>
      <w:pPr>
        <w:jc w:val="center"/>
        <w:ind w:right="20"/>
        <w:spacing w:after="0"/>
        <w:tabs>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Times New Roman" w:cs="Times New Roman" w:eastAsia="Times New Roman" w:hAnsi="Times New Roman"/>
          <w:sz w:val="14"/>
          <w:szCs w:val="14"/>
          <w:color w:val="auto"/>
        </w:rPr>
        <w:t>SALT LAKE CITY</w:t>
        <w:tab/>
        <w:t>SAN DIEGO</w:t>
        <w:tab/>
        <w:t>SAN FRANCISCO</w:t>
        <w:tab/>
        <w:t>SEATTLE</w:t>
        <w:tab/>
        <w:t>SHANGHAI</w:t>
        <w:tab/>
        <w:t>WASHINGTON, DC</w:t>
        <w:tab/>
        <w:t>WILMINGTON, DE</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10426 777 Dunsmuir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BC V7Y 1K3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(604) 691-3000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(604) 691-3031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reports dated February 24, 2022, with respect to the consolidated financial statements of Zymeworks Inc. (Legacy Zymeworks) and the effectiveness of internal control over financial reporting,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upperLetter"/>
      <w:start w:val="1"/>
    </w:lvl>
    <w:lvl w:ilvl="1">
      <w:lvlJc w:val="left"/>
      <w:lvlText w:val="(%2)"/>
      <w:numFmt w:val="decimal"/>
      <w:start w:val="2"/>
    </w:lvl>
  </w:abstractNum>
  <w:abstractNum w:abstractNumId="6">
    <w:nsid w:val="41B71EF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eg"/><Relationship Id="rId17" Type="http://schemas.openxmlformats.org/officeDocument/2006/relationships/hyperlink" Target="http://www.sec.gov/ix?doc=/Archives/edgar/data/0001403752/000140375222000005/zyme-20211231.htm" TargetMode="External"/><Relationship Id="rId18" Type="http://schemas.openxmlformats.org/officeDocument/2006/relationships/hyperlink" Target="http://www.sec.gov/ix?doc=/Archives/edgar/data/0001403752/000119312522136812/d357655d10ka.htm" TargetMode="External"/><Relationship Id="rId19" Type="http://schemas.openxmlformats.org/officeDocument/2006/relationships/hyperlink" Target="http://www.sec.gov/Archives/edgar/data/1937653/000119312522261838/d351779dex991.htm" TargetMode="External"/><Relationship Id="rId21" Type="http://schemas.openxmlformats.org/officeDocument/2006/relationships/hyperlink" Target="http://www.sec.gov/Archives/edgar/data/1937653/000119312522225399/d722206dex41.htm" TargetMode="External"/><Relationship Id="rId22" Type="http://schemas.openxmlformats.org/officeDocument/2006/relationships/hyperlink" Target="http://www.sec.gov/Archives/edgar/data/1937653/000119312522261838/d351779dex103.htm" TargetMode="External"/><Relationship Id="rId23" Type="http://schemas.openxmlformats.org/officeDocument/2006/relationships/hyperlink" Target="http://www.sec.gov/Archives/edgar/data/1937653/000119312522261838/d351779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2022-10-13T15:43:20Z</dcterms:created>
  <dcterms:modified xsi:type="dcterms:W3CDTF">2022-10-13T15:43:20Z</dcterms:modified>
</cp:coreProperties>
</file>