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23,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Zymeworks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54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001-41535</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88-3099146</w:t>
            </w:r>
          </w:p>
        </w:tc>
      </w:tr>
      <w:tr>
        <w:trPr>
          <w:trHeight w:val="148"/>
        </w:trPr>
        <w:tc>
          <w:tcPr>
            <w:tcW w:w="354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4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108 Patriot Drive, Suite A</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Middletown, Delaware</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19709</w:t>
            </w:r>
          </w:p>
        </w:tc>
      </w:tr>
      <w:tr>
        <w:trPr>
          <w:trHeight w:val="190"/>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(302) 274-8744</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6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ZYME</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39" w:lineRule="exact"/>
        <w:rPr>
          <w:sz w:val="24"/>
          <w:szCs w:val="24"/>
          <w:color w:val="auto"/>
        </w:rPr>
      </w:pPr>
    </w:p>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jc w:val="both"/>
        <w:ind w:left="4"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Purchase Agreement</w:t>
      </w:r>
    </w:p>
    <w:p>
      <w:pPr>
        <w:spacing w:after="0" w:line="11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On December 23, 2023, Zymeworks Inc. (the “Company”) entered into a securities purchase agreement (the “Securities Purchase Agreement”) for a private placement (the “Private Placement”) with certain institutional accredited investors affiliated with EcoR1 Capital, LLC (collectively, the “Purchasers”). Pursuant to the Securities Purchase Agreement, the Purchasers have agreed to purchase 5,086,521 pre-funded warrants (the “Pre-Funded Warrants”) to purchase 5,086,521 shares of common stock, $0.00001 par value per share, of the Company (“Common Stock”). The per share purchase price for the Pre-Funded Warrants is $9.8299, for an aggregate purchase price of approximately $50 million. The closing of the purchase and sale of the Pre-Funded Warrants is expected to occur on or about December 28, 2023 (the “Closing Date”), subject to the satisfaction of customary closing conditions.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the Company has agreed that EcoR1 Capital, LLC will have the right to nominate one of its partners as a member of the board of directors of the Company, subject to specified conditions. Such nomination right will terminate upon the earliest of the effective date of such appointment and January 1,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intends to use the net proceeds from the Private Placement for working capital and general corporate purposes.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Pre-Funded Warrants</w:t>
      </w:r>
    </w:p>
    <w:p>
      <w:pPr>
        <w:spacing w:after="0" w:line="11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Pre-Funded Warrants will be exercisable at an exercise price equal to $0.0001 per share, subject to adjustments as provided under the terms of the Pre-Funded Warrants. The Pre-Funded Warrants will be exercisable at any time on or after the Closing Date, except that the Pre-Funded Warrants cannot be exercised if, after giving effect or immediately prior to such exercise, the Purchaser, together with its affiliates and any other persons whose beneficial ownership of shares of Common Stock would be aggregated with the Purchaser for purposes of Section 13(d) of the Securities Exchange Act of 1934, as amended (the “Exchange Act”), would beneficially own more than 19.99% (the “Maximum Percentage”) of the total number of issued and outstanding shares of Common Stock or voting power of the Company following such exercise. The Maximum Percentage may be increased or decreased by a Purchaser with 61 days’ written notice to the Company; provided, however, that such percentage may in no event exceed 19.99%.</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entered into a registration rights agreement (the “Registration Rights Agreement”) with the Purchasers on December 23, 2023, requiring the Company to register the resale of the shares of Common Stock issuable upon exercise of the Pre-Funded Warrants (the “Registrable Securities”). Under the Registration Rights Agreement, the Company has agreed to file a registration statement covering the resale by the Purchasers of their Registrable Securities upon the earlier of March 15, 2024 and the first business day following the date that the Company files it Annual Report on Form 10-K for the fiscal year ended December 31, 2023 (the “Filing Deadline”).</w:t>
      </w:r>
    </w:p>
    <w:p>
      <w:pPr>
        <w:spacing w:after="0" w:line="18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 has agreed to use commercially reasonable efforts to cause such registration statement or final prospectus, as applicable, to be declared effective as soon as practicable, but no later than the later of April 29, 2024 and the 123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calendar day following the Closing Date (the “Effectiveness Deadline”), and to keep such registration statement effective for a period that will terminate upon the earliest of (i) the date that all Registrable Securities covered by such registration statement or final prospectus, as applicable, have been sold, (ii) the date that all Registrable Securities covered by such registration statement or final prospectus, as applicable, may be sold without the requirement for the Company to be in compliance with the current public information required under Rule 144 as to such Registrable Securities and without volume or manner-of-sale restrictions and (iii) two (2) years after the date of the Securities Purchase Agreement. The Company has agreed to be responsible for all reasonable expenses in connection with the filing of any registration statement or final prospectus, as applicable. For the avoidance of doubt, the fees and expenses of the Purchaser’s counsel shall be the responsibility of such Purchaser, and not the Company.</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event (i) the registration statement or final prospectus, as applicable, covering the Registrable Securities has not been filed with the Securities and Exchange Commission (the “SEC”) on or prior to the Filing Deadline, (ii) the registration statement or final prospectus, as applicable, covering the Registrable Securities is not declared effective by the SEC prior to the earlier of (a) ten (10) business days after the date on which the Company is notified by the SEC that the registration statement or final prospectus, as applicable, will not be reviewed by the SEC or is not subject to further comment by the SEC and (b) the Effectiveness Deadline, or (iii) after the registration statement or final prospectus, as applicable, has been declared effective by the SEC, sales cannot be made pursuant to the registration statement or final prospectus, as applicable, for any reason, subject to certain limited exceptions, then the Company has agreed to make pro rata payments to each Purchaser as liquidated damages and not as a penalty, in an amount equal to one percent (1%) of the aggregate purchase price paid by such Purchaser pursuant to the Securities Purchase Agreement for any shares of Common Stock held by such Purchaser pursuant to the exercise of Pre-Funded Warrants but not for any unissued shares of Common Stock issuable upon exercise of the Pre-Funded Warrants for each 30-day period or pro rata for any portion thereof (a) following the Filing Deadline for which no registration statement or final prospectus, as applicable, is filed with respect to the Registrable Securities or (b) during which such registration statement or final prospectus, as applicable, is unavailable, as applicable. Payment of such liquidated damages shall be the Purchasers’ exclusive remedy for such events. In addition, (i) the aggregate amount of liquidated damages payable to a Purchaser shall not exceed, in the aggregate, six percent (6%) of the aggregate purchase price paid by such Purchaser and (ii) the Company shall not be liable in any thirty (30) day period for liquidated damages in excess of one percent (1%) of the aggregate purchase price paid by the Purchasers</w:t>
      </w:r>
    </w:p>
    <w:p>
      <w:pPr>
        <w:sectPr>
          <w:pgSz w:w="11900" w:h="16838" w:orient="portrait"/>
          <w:cols w:equalWidth="0" w:num="1">
            <w:col w:w="11020"/>
          </w:cols>
          <w:pgMar w:left="440" w:top="293" w:right="439" w:bottom="1440" w:gutter="0" w:footer="0" w:header="0"/>
        </w:sectPr>
      </w:pP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020"/>
          </w:cols>
          <w:pgMar w:left="440" w:top="293" w:right="439" w:bottom="1440" w:gutter="0" w:footer="0" w:header="0"/>
          <w:type w:val="continuous"/>
        </w:sectPr>
      </w:pPr>
    </w:p>
    <w:bookmarkStart w:id="2" w:name="page3"/>
    <w:bookmarkEnd w:id="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Company has granted the Purchasers customary indemnification rights in connection with the registration statement. The Purchasers have also granted the Company customary indemnification rights in connection with the registration statement.</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material terms of the Private Placement is qualified in its entirety by reference to the Securities Purchase Agreement attached hereto as Exhibit 10.1, the Registration Rights Agreement attached hereto as Exhibit 10.2, and the Form of Pre-Funded Warrant to purchase shares of Common Stock attached hereto as Exhibit 10.3, each of which is incorporated by reference herein.</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Securities Purchase Agreement and the Registration Rights Agreement are incorporated herein by reference only to provide investors with information regarding the terms thereof and not to provide investors with any other factual information regarding the Company or its business, and should be read in conjunction with the disclosures in the Company’s periodic reports and other filings with the SEC.</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sale of the securities pursuant to the Securities Purchase Agreement has not been registered under the Securities Act of 1933, as amended (the “Securities Act”) or any state securities laws. Neither this Current Report on Form 8-K, nor the exhibits attached hereto is an offer to sell or the solicitation of an offer to buy the securities described herein.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above under Item 1.01 is hereby incorporated by reference in response to this Item 3.02 of Form 8-K.</w:t>
      </w:r>
    </w:p>
    <w:p>
      <w:pPr>
        <w:spacing w:after="0" w:line="22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offering and sale of the Pre-Funded Warrants will be exempt from registration under Section 4(a)(2) of the Securities Act and Rule 506 of Regulation D as promulgated by the SEC under the Securities Act. The Pre-Funded Warrants have not been registered under the Securities Act or any state securities laws, and the Pre-Funded Warrants may not be offered for sale, sold, transferred, assigned or otherwise disposed of absent registration with the SEC or an applicable exemption from the registration requirements. The sale of the securities will not involve a public offering and will be made without general solicitation or general advertising. The Purchasers represented that they are institutional “accredited investors” as defined in Rule 501(a) under the Securities Act, and that they are acquiring the Pre-Funded Warrants for investment purposes only and not with a view to, or for distributing or reselling such Pre-Funded Warrants in violation of the Securities Act or any applicable state securities laws.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December 26, 2023, the Company issued a press release announcing its entry into the Securities Purchase Agreement and Registration Rights Agreement with the Purchasers. A copy of this press release is being furnished as Exhibit 99.1 to this Report on Form 8-K.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Item 7.01 of this Current Report on Form 8-K and Exhibit 99.1 attached hereto are being furnished and shall not be deemed “filed” for the purposes of Section 18 of the Exchange Act, or otherwise subject to the liability of that section, nor shall such information be deemed incorporated by reference in any filing under the Exchange Act or the Securities Act regardless of the general incorporation language of such filing, except as shall be expressly set forth by specific reference in such filing.</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97" w:right="43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Cautionary Note Regarding Forward-Looking Statements</w:t>
      </w:r>
    </w:p>
    <w:p>
      <w:pPr>
        <w:spacing w:after="0" w:line="119" w:lineRule="exact"/>
        <w:rPr>
          <w:sz w:val="20"/>
          <w:szCs w:val="20"/>
          <w:color w:val="auto"/>
        </w:rPr>
      </w:pPr>
    </w:p>
    <w:p>
      <w:pPr>
        <w:jc w:val="both"/>
        <w:ind w:left="4"/>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This Current Report on Form 8-K includes “forward-looking statements” or information within the meaning of the applicable securities legislation, including Section 27A of the Securities Act, and Section 21E of the Exchange Act. Forward-looking statements in this Current Report on Form 8-K include, but are not limited to, statements regarding the expected closing of the private placement, anticipated receipt and use of proceeds from the private placement, whether the conditions for the closing of the private placement will be satisfied, the filing of a registration statement or final prospectus, as applicable, to register the resale of the shares of common stock issuable upon the exercise of the pre-funded warrant to be issued and sold in the private placement, and other information that is not historical information. When used herein, words such as “plan”, “believe”, “expect”, “may”, “continue”, “anticipate”, “potential”, “will”, “progress”, and similar expressions are intended to identify forward-looking statements. In addition, any statements or information that refer to expectations, beliefs, plans, projections, objectives, performance or other characterizations of future events or circumstances, including any underlying assumptions, are forward-looking. All forward-looking statements are based upon the Company’s current expectations and various assumptions. The Company believes there is a reasonable basis for its expectations and beliefs, but they are inherently uncertain. The Company may not realize its expectations, and its beliefs may not prove correct. Actual results could differ materially from those described or implied by such forward-looking statements as a result of various factors, including, without limitation: whether the conditions for the closing of the private placement will be satisfied; clinical trials may not demonstrate safety and efficacy of any of the Company’s or its collaborators’ product candidates; any of the Company’s or its partners’ product candidates may fail in development, may not receive required regulatory approvals, or may be delayed to a point where they are not commercially viable; the Company may not achieve milestones or receive additional payments under its collaborations; the impact of pandemics and other health crises on the Company’s business, research and clinical development plans and timelines and results of operations, including impact on its clinical trial sites, collaborators, and contractors who act for or on the Company’s behalf; inability to maintain or enter into new partnerships or strategic collaborations; regulatory agencies may impose additional requirements or delay the initiation of clinical trials; the impact of new or changing laws and regulations; the Company’s assumptions regarding its cash runway may be incorrect; market conditions; and the other risks described under “Risk Factors” in the Company’s Quarterly Report on Form 10-Q for its quarter ended September 30, 2023 (a copy of which may be obtained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i w:val="1"/>
          <w:iCs w:val="1"/>
          <w:u w:val="single" w:color="auto"/>
          <w:color w:val="auto"/>
        </w:rPr>
        <w:t>www.sedar.com</w:t>
      </w:r>
      <w:r>
        <w:rPr>
          <w:rFonts w:ascii="Times New Roman" w:cs="Times New Roman" w:eastAsia="Times New Roman" w:hAnsi="Times New Roman"/>
          <w:sz w:val="18"/>
          <w:szCs w:val="18"/>
          <w:i w:val="1"/>
          <w:iCs w:val="1"/>
          <w:color w:val="auto"/>
        </w:rPr>
        <w:t>). Although the Company believes that such forward-looking statements are reasonable, there can be no assurance they will prove to be correct. Investors should not place undue reliance on forward-looking statements. The above assumptions, risks and uncertainties are not exhaustive. Forward-looking statements are made as of the date hereof and, except as may be required by law, the Company undertakes no obligation to update, republish, or revise any forward-looking statements to reflect new information, future events or circumstances, or to reflect the occurrences of unanticipated events.</w:t>
      </w:r>
    </w:p>
    <w:p>
      <w:pPr>
        <w:spacing w:after="0" w:line="31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50" w:lineRule="exact"/>
        <w:rPr>
          <w:sz w:val="20"/>
          <w:szCs w:val="20"/>
          <w:color w:val="auto"/>
        </w:rPr>
      </w:pPr>
    </w:p>
    <w:tbl>
      <w:tblPr>
        <w:tblLayout w:type="fixed"/>
        <w:tblInd w:w="4" w:type="dxa"/>
        <w:tblCellMar>
          <w:top w:w="0" w:type="dxa"/>
          <w:left w:w="0" w:type="dxa"/>
          <w:bottom w:w="0" w:type="dxa"/>
          <w:right w:w="0" w:type="dxa"/>
        </w:tblCellMar>
      </w:tblPr>
      <w:tr>
        <w:trPr>
          <w:trHeight w:val="187"/>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5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740" w:type="dxa"/>
            <w:vAlign w:val="bottom"/>
          </w:tcPr>
          <w:p>
            <w:pPr>
              <w:spacing w:after="0"/>
              <w:rPr>
                <w:sz w:val="22"/>
                <w:szCs w:val="22"/>
                <w:color w:val="auto"/>
              </w:rPr>
            </w:pPr>
          </w:p>
        </w:tc>
        <w:tc>
          <w:tcPr>
            <w:tcW w:w="7740" w:type="dxa"/>
            <w:vAlign w:val="bottom"/>
            <w:tcBorders>
              <w:top w:val="single" w:sz="8" w:color="auto"/>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Securities Purchase Agreement, dated December 23, 2023, by and among the Company and the Purchasers.</w:t>
            </w:r>
          </w:p>
        </w:tc>
        <w:tc>
          <w:tcPr>
            <w:tcW w:w="1820" w:type="dxa"/>
            <w:vAlign w:val="bottom"/>
            <w:tcBorders>
              <w:top w:val="single" w:sz="8" w:color="auto"/>
            </w:tcBorders>
          </w:tcPr>
          <w:p>
            <w:pPr>
              <w:spacing w:after="0"/>
              <w:rPr>
                <w:sz w:val="22"/>
                <w:szCs w:val="22"/>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740" w:type="dxa"/>
            <w:vAlign w:val="bottom"/>
          </w:tcPr>
          <w:p>
            <w:pPr>
              <w:spacing w:after="0"/>
              <w:rPr>
                <w:sz w:val="24"/>
                <w:szCs w:val="24"/>
                <w:color w:val="auto"/>
              </w:rPr>
            </w:pPr>
          </w:p>
        </w:tc>
        <w:tc>
          <w:tcPr>
            <w:tcW w:w="95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Registration Rights Agreement, dated December 23, 2023, by and among the Company and the Purchasers.</w:t>
            </w: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740" w:type="dxa"/>
            <w:vAlign w:val="bottom"/>
          </w:tcPr>
          <w:p>
            <w:pPr>
              <w:spacing w:after="0"/>
              <w:rPr>
                <w:sz w:val="24"/>
                <w:szCs w:val="24"/>
                <w:color w:val="auto"/>
              </w:rPr>
            </w:pPr>
          </w:p>
        </w:tc>
        <w:tc>
          <w:tcPr>
            <w:tcW w:w="772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Form of Pre-Funded Warrant.</w:t>
            </w:r>
          </w:p>
        </w:tc>
        <w:tc>
          <w:tcPr>
            <w:tcW w:w="1840" w:type="dxa"/>
            <w:vAlign w:val="bottom"/>
            <w:gridSpan w:val="2"/>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40" w:type="dxa"/>
            <w:vAlign w:val="bottom"/>
            <w:gridSpan w:val="3"/>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24"/>
                <w:szCs w:val="24"/>
                <w:color w:val="auto"/>
              </w:rPr>
            </w:pPr>
          </w:p>
        </w:tc>
        <w:tc>
          <w:tcPr>
            <w:tcW w:w="29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dated December 26, 2023.</w:t>
            </w:r>
          </w:p>
        </w:tc>
        <w:tc>
          <w:tcPr>
            <w:tcW w:w="6640" w:type="dxa"/>
            <w:vAlign w:val="bottom"/>
            <w:gridSpan w:val="3"/>
          </w:tcPr>
          <w:p>
            <w:pPr>
              <w:spacing w:after="0"/>
              <w:rPr>
                <w:sz w:val="24"/>
                <w:szCs w:val="24"/>
                <w:color w:val="auto"/>
              </w:rPr>
            </w:pPr>
          </w:p>
        </w:tc>
      </w:tr>
    </w:tbl>
    <w:p>
      <w:pPr>
        <w:spacing w:after="0" w:line="117" w:lineRule="exact"/>
        <w:rPr>
          <w:sz w:val="20"/>
          <w:szCs w:val="20"/>
          <w:color w:val="auto"/>
        </w:rPr>
      </w:pPr>
    </w:p>
    <w:p>
      <w:pPr>
        <w:ind w:left="5464" w:right="4320" w:hanging="5464"/>
        <w:spacing w:after="0" w:line="454" w:lineRule="auto"/>
        <w:tabs>
          <w:tab w:leader="none" w:pos="145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as Inline XBRL document). 4</w:t>
      </w:r>
    </w:p>
    <w:p>
      <w:pPr>
        <w:sectPr>
          <w:pgSz w:w="11900" w:h="16838" w:orient="portrait"/>
          <w:cols w:equalWidth="0" w:num="1">
            <w:col w:w="11024"/>
          </w:cols>
          <w:pgMar w:left="436" w:top="293" w:right="4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ZYMEWORKS INC.</w:t>
            </w:r>
          </w:p>
        </w:tc>
      </w:tr>
      <w:tr>
        <w:trPr>
          <w:trHeight w:val="228"/>
        </w:trPr>
        <w:tc>
          <w:tcPr>
            <w:tcW w:w="36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6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427"/>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26, 2023</w:t>
            </w:r>
          </w:p>
        </w:tc>
        <w:tc>
          <w:tcPr>
            <w:tcW w:w="250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Kenneth Galbraith</w:t>
            </w:r>
          </w:p>
        </w:tc>
      </w:tr>
      <w:tr>
        <w:trPr>
          <w:trHeight w:val="205"/>
        </w:trPr>
        <w:tc>
          <w:tcPr>
            <w:tcW w:w="3660" w:type="dxa"/>
            <w:vAlign w:val="bottom"/>
          </w:tcPr>
          <w:p>
            <w:pPr>
              <w:spacing w:after="0"/>
              <w:rPr>
                <w:sz w:val="17"/>
                <w:szCs w:val="17"/>
                <w:color w:val="auto"/>
              </w:rPr>
            </w:pPr>
          </w:p>
        </w:tc>
        <w:tc>
          <w:tcPr>
            <w:tcW w:w="2500" w:type="dxa"/>
            <w:vAlign w:val="bottom"/>
            <w:gridSpan w:val="2"/>
          </w:tcPr>
          <w:p>
            <w:pPr>
              <w:ind w:left="186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Kenneth Galbraith</w:t>
            </w:r>
          </w:p>
        </w:tc>
      </w:tr>
      <w:tr>
        <w:trPr>
          <w:trHeight w:val="234"/>
        </w:trPr>
        <w:tc>
          <w:tcPr>
            <w:tcW w:w="3660" w:type="dxa"/>
            <w:vAlign w:val="bottom"/>
          </w:tcPr>
          <w:p>
            <w:pPr>
              <w:spacing w:after="0"/>
              <w:rPr>
                <w:sz w:val="20"/>
                <w:szCs w:val="20"/>
                <w:color w:val="auto"/>
              </w:rPr>
            </w:pPr>
          </w:p>
        </w:tc>
        <w:tc>
          <w:tcPr>
            <w:tcW w:w="250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Chair and Chief Executive Officer</w:t>
            </w:r>
          </w:p>
        </w:tc>
      </w:tr>
      <w:tr>
        <w:trPr>
          <w:trHeight w:val="365"/>
        </w:trPr>
        <w:tc>
          <w:tcPr>
            <w:tcW w:w="3660" w:type="dxa"/>
            <w:vAlign w:val="bottom"/>
          </w:tcPr>
          <w:p>
            <w:pPr>
              <w:spacing w:after="0"/>
              <w:rPr>
                <w:sz w:val="24"/>
                <w:szCs w:val="24"/>
                <w:color w:val="auto"/>
              </w:rPr>
            </w:pPr>
          </w:p>
        </w:tc>
        <w:tc>
          <w:tcPr>
            <w:tcW w:w="25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5</w:t>
            </w:r>
          </w:p>
        </w:tc>
        <w:tc>
          <w:tcPr>
            <w:tcW w:w="4860" w:type="dxa"/>
            <w:vAlign w:val="bottom"/>
          </w:tcPr>
          <w:p>
            <w:pPr>
              <w:spacing w:after="0"/>
              <w:rPr>
                <w:sz w:val="24"/>
                <w:szCs w:val="24"/>
                <w:color w:val="auto"/>
              </w:rPr>
            </w:pPr>
          </w:p>
        </w:tc>
      </w:tr>
    </w:tbl>
    <w:p>
      <w:pPr>
        <w:sectPr>
          <w:pgSz w:w="11900" w:h="16838" w:orient="portrait"/>
          <w:cols w:equalWidth="0" w:num="1">
            <w:col w:w="11020"/>
          </w:cols>
          <w:pgMar w:left="440" w:top="293"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7" w:lineRule="exact"/>
        <w:rPr>
          <w:sz w:val="20"/>
          <w:szCs w:val="20"/>
          <w:color w:val="auto"/>
        </w:rPr>
      </w:pPr>
    </w:p>
    <w:p>
      <w:pPr>
        <w:jc w:val="both"/>
        <w:ind w:right="20" w:firstLine="440"/>
        <w:spacing w:after="0" w:line="267"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is dated as of December 23, 2023, by and among Zymeworks Inc.,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 each purchaser identified on the signature pages hereto (each, including its successors and permitted assigns, a “</w:t>
      </w:r>
      <w:r>
        <w:rPr>
          <w:rFonts w:ascii="Times New Roman" w:cs="Times New Roman" w:eastAsia="Times New Roman" w:hAnsi="Times New Roman"/>
          <w:sz w:val="18"/>
          <w:szCs w:val="18"/>
          <w:i w:val="1"/>
          <w:iCs w:val="1"/>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i w:val="1"/>
          <w:iCs w:val="1"/>
          <w:color w:val="auto"/>
        </w:rPr>
        <w:t>Purchasers</w:t>
      </w:r>
      <w:r>
        <w:rPr>
          <w:rFonts w:ascii="Times New Roman" w:cs="Times New Roman" w:eastAsia="Times New Roman" w:hAnsi="Times New Roman"/>
          <w:sz w:val="18"/>
          <w:szCs w:val="18"/>
          <w:color w:val="auto"/>
        </w:rPr>
        <w:t>”).</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A. The Company and each Purchaser is executing and delivering this Agreement in reliance upon the exemption from securities registration afforded by Section 4(a)(2) of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and Rule 506 of Regulation D (“</w:t>
      </w:r>
      <w:r>
        <w:rPr>
          <w:rFonts w:ascii="Times New Roman" w:cs="Times New Roman" w:eastAsia="Times New Roman" w:hAnsi="Times New Roman"/>
          <w:sz w:val="18"/>
          <w:szCs w:val="18"/>
          <w:i w:val="1"/>
          <w:iCs w:val="1"/>
          <w:color w:val="auto"/>
        </w:rPr>
        <w:t>Regulation D</w:t>
      </w:r>
      <w:r>
        <w:rPr>
          <w:rFonts w:ascii="Times New Roman" w:cs="Times New Roman" w:eastAsia="Times New Roman" w:hAnsi="Times New Roman"/>
          <w:sz w:val="18"/>
          <w:szCs w:val="18"/>
          <w:color w:val="auto"/>
        </w:rPr>
        <w:t>”) as promulgated by the United States Securities and Exchange Commission (the “</w:t>
      </w:r>
      <w:r>
        <w:rPr>
          <w:rFonts w:ascii="Times New Roman" w:cs="Times New Roman" w:eastAsia="Times New Roman" w:hAnsi="Times New Roman"/>
          <w:sz w:val="18"/>
          <w:szCs w:val="18"/>
          <w:i w:val="1"/>
          <w:iCs w:val="1"/>
          <w:color w:val="auto"/>
        </w:rPr>
        <w:t>Commission</w:t>
      </w:r>
      <w:r>
        <w:rPr>
          <w:rFonts w:ascii="Times New Roman" w:cs="Times New Roman" w:eastAsia="Times New Roman" w:hAnsi="Times New Roman"/>
          <w:sz w:val="18"/>
          <w:szCs w:val="18"/>
          <w:color w:val="auto"/>
        </w:rPr>
        <w:t>”) under the Securities Act.</w:t>
      </w:r>
    </w:p>
    <w:p>
      <w:pPr>
        <w:spacing w:after="0" w:line="176" w:lineRule="exact"/>
        <w:rPr>
          <w:sz w:val="20"/>
          <w:szCs w:val="20"/>
          <w:color w:val="auto"/>
        </w:rPr>
      </w:pPr>
    </w:p>
    <w:p>
      <w:pPr>
        <w:jc w:val="both"/>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B. Each Purchaser, severally and not jointly, wishes to purchase, and the Company wishes to sell, upon the terms and conditions stated in this Agreement, that aggregate number of pre-funded warrants to purchase common stock, in substantially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Pre-Funded Warrants</w:t>
      </w:r>
      <w:r>
        <w:rPr>
          <w:rFonts w:ascii="Times New Roman" w:cs="Times New Roman" w:eastAsia="Times New Roman" w:hAnsi="Times New Roman"/>
          <w:sz w:val="18"/>
          <w:szCs w:val="18"/>
          <w:color w:val="auto"/>
        </w:rPr>
        <w:t>”), to acquire up to that number of shares of common stock, $0.00001 par value per share (the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of the Company, set forth below such Purchaser’s name on the signature page of this Agreement (which aggregate number of shares of Common Stock issuable upon exercise of all Pre-Funded Warrants shall be 5,086,521 shares of Common Stock). The shares of Common Stock issuable upon exercise of or otherwise pursuant to the Pre-Funded Warrants collectively are referred to herein as the “</w:t>
      </w:r>
      <w:r>
        <w:rPr>
          <w:rFonts w:ascii="Times New Roman" w:cs="Times New Roman" w:eastAsia="Times New Roman" w:hAnsi="Times New Roman"/>
          <w:sz w:val="18"/>
          <w:szCs w:val="18"/>
          <w:i w:val="1"/>
          <w:iCs w:val="1"/>
          <w:color w:val="auto"/>
        </w:rPr>
        <w:t>Pre-Funded Warrant Shares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The Pre-Funded Warrants and the Pre-Funded Warrant Shares collectively are referred to herein as the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D. Contemporaneously with the execution and delivery of this Agreement, the parties hereto are executing and delivering a Registration Rights Agreement,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Registration Rights Agreement</w:t>
      </w:r>
      <w:r>
        <w:rPr>
          <w:rFonts w:ascii="Times New Roman" w:cs="Times New Roman" w:eastAsia="Times New Roman" w:hAnsi="Times New Roman"/>
          <w:sz w:val="18"/>
          <w:szCs w:val="18"/>
          <w:color w:val="auto"/>
        </w:rPr>
        <w:t>”), pursuant to which, among other things, the Company will agree to provide certain registration rights with respect to the Pre-Funded Warrant Shares under the Securities Act and the rules and regulations promulgated thereunder and applicable state securities laws.</w:t>
      </w:r>
    </w:p>
    <w:p>
      <w:pPr>
        <w:spacing w:after="0" w:line="180"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the Purchasers hereby agree as follows: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In addition to the terms defined elsewhere in this Agreement, for all purposes of this Agreement, the following terms shall have the meanings indicated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jc w:val="both"/>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means, with respect to any Person, any other Person that, directly or indirectly through one or more intermediaries, Controls, is controlled by or is under common control with such Person, as such terms are used in and construed under Rule 405 under the Securities Act. With respect to a Purchaser, any investment fund or managed account that is managed on a discretionary basis by the same investment manager as such Purchaser will be deemed to be an Affiliate of such Purchaser.</w:t>
      </w:r>
    </w:p>
    <w:p>
      <w:pPr>
        <w:sectPr>
          <w:pgSz w:w="11900" w:h="16838" w:orient="portrait"/>
          <w:cols w:equalWidth="0" w:num="1">
            <w:col w:w="11020"/>
          </w:cols>
          <w:pgMar w:left="440" w:top="117" w:right="439" w:bottom="1440" w:gutter="0" w:footer="0" w:header="0"/>
        </w:sectPr>
      </w:pPr>
    </w:p>
    <w:bookmarkStart w:id="6" w:name="page7"/>
    <w:bookmarkEnd w:id="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Appointment Right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means any day except Saturday, Sunday, any day which is a federal legal holiday in the United States or Canada or any day on which banking institutions in the State of New York or Province of British Columbia are authorized or required by law or other governmental action to close.</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Canadian Authorities</w:t>
      </w:r>
      <w:r>
        <w:rPr>
          <w:rFonts w:ascii="Times New Roman" w:cs="Times New Roman" w:eastAsia="Times New Roman" w:hAnsi="Times New Roman"/>
          <w:sz w:val="18"/>
          <w:szCs w:val="18"/>
          <w:color w:val="auto"/>
        </w:rPr>
        <w:t>” shall mean the securities regulatory authorities in each of the Canadian Jurisdictions.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Canadian Jurisdictions</w:t>
      </w:r>
      <w:r>
        <w:rPr>
          <w:rFonts w:ascii="Times New Roman" w:cs="Times New Roman" w:eastAsia="Times New Roman" w:hAnsi="Times New Roman"/>
          <w:sz w:val="18"/>
          <w:szCs w:val="18"/>
          <w:color w:val="auto"/>
        </w:rPr>
        <w:t>” shall mean each of the provinces and territories of Canada.</w:t>
      </w:r>
    </w:p>
    <w:p>
      <w:pPr>
        <w:spacing w:after="0" w:line="225" w:lineRule="exact"/>
        <w:rPr>
          <w:sz w:val="20"/>
          <w:szCs w:val="20"/>
          <w:color w:val="auto"/>
        </w:rPr>
      </w:pPr>
    </w:p>
    <w:p>
      <w:pPr>
        <w:jc w:val="both"/>
        <w:ind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Canadian Securities Laws</w:t>
      </w:r>
      <w:r>
        <w:rPr>
          <w:rFonts w:ascii="Times New Roman" w:cs="Times New Roman" w:eastAsia="Times New Roman" w:hAnsi="Times New Roman"/>
          <w:sz w:val="18"/>
          <w:szCs w:val="18"/>
          <w:color w:val="auto"/>
        </w:rPr>
        <w:t>” shall mean the applicable rules and regulations under such laws, together with applicable published national, multilateral and local policy statements, instruments, notices and blanket orders of the Canadian Authorities in each of the Canadian Jurisdictions.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means the closing of the purchase and sale of the Pre-Funded Warrants pursuant to this Agreement.</w:t>
      </w:r>
    </w:p>
    <w:p>
      <w:pPr>
        <w:spacing w:after="0" w:line="225" w:lineRule="exact"/>
        <w:rPr>
          <w:sz w:val="20"/>
          <w:szCs w:val="20"/>
          <w:color w:val="auto"/>
        </w:rPr>
      </w:pPr>
    </w:p>
    <w:p>
      <w:pPr>
        <w:jc w:val="both"/>
        <w:ind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xml:space="preserve">” means the Trading Day when all of the Transaction Documents have been executed and delivered by the applicable parties thereto, and all of the conditions set forth in </w:t>
      </w:r>
      <w:r>
        <w:rPr>
          <w:rFonts w:ascii="Times New Roman" w:cs="Times New Roman" w:eastAsia="Times New Roman" w:hAnsi="Times New Roman"/>
          <w:sz w:val="18"/>
          <w:szCs w:val="18"/>
          <w:u w:val="single" w:color="auto"/>
          <w:color w:val="auto"/>
        </w:rPr>
        <w:t>Sections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5.2</w:t>
      </w:r>
      <w:r>
        <w:rPr>
          <w:rFonts w:ascii="Times New Roman" w:cs="Times New Roman" w:eastAsia="Times New Roman" w:hAnsi="Times New Roman"/>
          <w:sz w:val="18"/>
          <w:szCs w:val="18"/>
          <w:color w:val="auto"/>
        </w:rPr>
        <w:t xml:space="preserve"> hereof are satisfied or waived, as the case may be, or such other date as the parties may agree.</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Commission</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jc w:val="both"/>
        <w:ind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has the meaning set forth in the Recitals, and also includes any other class of securities into which the Common Stock may hereafter be reclassified, exchanged or changed into.</w:t>
      </w:r>
    </w:p>
    <w:p>
      <w:pPr>
        <w:spacing w:after="0" w:line="158" w:lineRule="exact"/>
        <w:rPr>
          <w:sz w:val="20"/>
          <w:szCs w:val="20"/>
          <w:color w:val="auto"/>
        </w:rPr>
      </w:pPr>
    </w:p>
    <w:p>
      <w:pPr>
        <w:jc w:val="both"/>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Common Stock Equivalents</w:t>
      </w:r>
      <w:r>
        <w:rPr>
          <w:rFonts w:ascii="Times New Roman" w:cs="Times New Roman" w:eastAsia="Times New Roman" w:hAnsi="Times New Roman"/>
          <w:sz w:val="18"/>
          <w:szCs w:val="18"/>
          <w:color w:val="auto"/>
        </w:rPr>
        <w:t>” means any securities of the Company or any Subsidiary which would entitle the holder thereof to acquire at any time shares of Common Stock, including, without limitation, any debt, preferred stock, right, option, warrant or other instrument that is at any time convertible into or exchangeable for, or otherwise entitles the holder thereof to receive, shares of Common Stock or other securities that entitle the holder to receive, directly or indirectly, shares of Common Stock.</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U.S. Counsel</w:t>
      </w:r>
      <w:r>
        <w:rPr>
          <w:rFonts w:ascii="Times New Roman" w:cs="Times New Roman" w:eastAsia="Times New Roman" w:hAnsi="Times New Roman"/>
          <w:sz w:val="18"/>
          <w:szCs w:val="18"/>
          <w:color w:val="auto"/>
        </w:rPr>
        <w:t>” means Wilson Sonsini Goodrich &amp; Rosati, Professional Corporation.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Deliverables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Control</w:t>
      </w:r>
      <w:r>
        <w:rPr>
          <w:rFonts w:ascii="Times New Roman" w:cs="Times New Roman" w:eastAsia="Times New Roman" w:hAnsi="Times New Roman"/>
          <w:sz w:val="18"/>
          <w:szCs w:val="18"/>
          <w:color w:val="auto"/>
        </w:rPr>
        <w:t>” (including the terms “controlling”, “controlled by” or “under common control with”) means the possession, direct or indirect, of the power to direct or cause the direction of the management and policies of a Person, whether through the ownership of voting securities, by contract or otherwise.</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Environmental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3.1(bb)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 or any successor statute, and the rules and regulations promulgated thereunder.</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8" w:right="459" w:bottom="1440" w:gutter="0" w:footer="0" w:header="0"/>
        </w:sectPr>
      </w:pPr>
    </w:p>
    <w:bookmarkStart w:id="7" w:name="page8"/>
    <w:bookmarkEnd w:id="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means U.S. generally accepted accounting principles, as applied by the Company.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Health Care Authorizations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3.1(jj)</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Health Care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3.1(jj).</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Indemnified Person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Legend Removal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Material Adverse Effect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Money Laundering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Net Short Sale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New York Courts</w:t>
      </w:r>
      <w:r>
        <w:rPr>
          <w:rFonts w:ascii="Times New Roman" w:cs="Times New Roman" w:eastAsia="Times New Roman" w:hAnsi="Times New Roman"/>
          <w:sz w:val="18"/>
          <w:szCs w:val="18"/>
          <w:color w:val="auto"/>
        </w:rPr>
        <w:t>” means the state and federal courts sitting in the City of New York, Borough of Manhattan.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Outside Date</w:t>
      </w:r>
      <w:r>
        <w:rPr>
          <w:rFonts w:ascii="Times New Roman" w:cs="Times New Roman" w:eastAsia="Times New Roman" w:hAnsi="Times New Roman"/>
          <w:sz w:val="18"/>
          <w:szCs w:val="18"/>
          <w:color w:val="auto"/>
        </w:rPr>
        <w:t>” means the thirtieth day following the date of this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 individual, corporation, partnership, limited liability company, trust, business trust, association, joint stock company, joint venture, sole proprietorship, unincorporated organization, governmental authority or any other form of entity not specifically listed herein.</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Pre-Funded Warrants</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Pre-Funded Warrant Shares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jc w:val="both"/>
        <w:ind w:right="2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Pre-Funded Warrant Subscription Amount</w:t>
      </w:r>
      <w:r>
        <w:rPr>
          <w:rFonts w:ascii="Times New Roman" w:cs="Times New Roman" w:eastAsia="Times New Roman" w:hAnsi="Times New Roman"/>
          <w:sz w:val="18"/>
          <w:szCs w:val="18"/>
          <w:color w:val="auto"/>
        </w:rPr>
        <w:t>” means, with respect to each Purchaser, the aggregate amount to be paid for the Pre-Funded Warrants purchased hereunder as indicated on such Purchaser’s signature page to this Agreement next to the heading “Pre-Funded Warrant Subscription Amount” in United States dollars and in immediately available funds.</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Pre-Funded Warrant Purchase Price</w:t>
      </w:r>
      <w:r>
        <w:rPr>
          <w:rFonts w:ascii="Times New Roman" w:cs="Times New Roman" w:eastAsia="Times New Roman" w:hAnsi="Times New Roman"/>
          <w:sz w:val="18"/>
          <w:szCs w:val="18"/>
          <w:color w:val="auto"/>
        </w:rPr>
        <w:t>” means $9.8299 per Pre-Funded Warrant.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Press Release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Trading Market</w:t>
      </w:r>
      <w:r>
        <w:rPr>
          <w:rFonts w:ascii="Times New Roman" w:cs="Times New Roman" w:eastAsia="Times New Roman" w:hAnsi="Times New Roman"/>
          <w:sz w:val="18"/>
          <w:szCs w:val="18"/>
          <w:color w:val="auto"/>
        </w:rPr>
        <w:t>” means the Trading Market on which the shares of Common Stock are primarily listed on and quoted for trading, which, as of the date of this Agreement and the Closing Date, shall be The Nasdaq Stock Market LLC.</w:t>
      </w:r>
    </w:p>
    <w:p>
      <w:pPr>
        <w:spacing w:after="0" w:line="158" w:lineRule="exact"/>
        <w:rPr>
          <w:sz w:val="20"/>
          <w:szCs w:val="20"/>
          <w:color w:val="auto"/>
        </w:rPr>
      </w:pPr>
    </w:p>
    <w:p>
      <w:pPr>
        <w:jc w:val="both"/>
        <w:ind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investigation or partial proceeding, such as a deposition), whether commenced or threatened.</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Purchasers</w:t>
      </w:r>
      <w:r>
        <w:rPr>
          <w:rFonts w:ascii="Times New Roman" w:cs="Times New Roman" w:eastAsia="Times New Roman" w:hAnsi="Times New Roman"/>
          <w:sz w:val="18"/>
          <w:szCs w:val="18"/>
          <w:color w:val="auto"/>
        </w:rPr>
        <w:t>” has the meaning set forth in the Preamble.</w:t>
      </w:r>
    </w:p>
    <w:p>
      <w:pPr>
        <w:spacing w:after="0" w:line="16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68" w:right="439" w:bottom="1440" w:gutter="0" w:footer="0" w:header="0"/>
        </w:sectPr>
      </w:pPr>
    </w:p>
    <w:bookmarkStart w:id="8" w:name="page9"/>
    <w:bookmarkEnd w:id="8"/>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Purchaser Deliverables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Purchaser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Registration Rights Agreement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Qualified Nominee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2.2(a)(viii)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Regulation D</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Regulation S-X</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Regulatory Authorities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3.1(hh)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Required Approvals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from time to time, or any similar rule or regulation hereafter adopted by the Commission having substantially the same effect as such Rule.</w:t>
      </w:r>
    </w:p>
    <w:p>
      <w:pPr>
        <w:spacing w:after="0" w:line="15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Sanctions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3.1(gg)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Sanctioned Country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3.1(gg)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Sanctioned Persons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3.1(gg).</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Sarbanes-Oxley 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 Report</w:t>
      </w:r>
      <w:r>
        <w:rPr>
          <w:rFonts w:ascii="Times New Roman" w:cs="Times New Roman" w:eastAsia="Times New Roman" w:hAnsi="Times New Roman"/>
          <w:sz w:val="18"/>
          <w:szCs w:val="18"/>
          <w:color w:val="auto"/>
        </w:rPr>
        <w:t xml:space="preserve">s” has the meaning set forth in </w:t>
      </w:r>
      <w:r>
        <w:rPr>
          <w:rFonts w:ascii="Times New Roman" w:cs="Times New Roman" w:eastAsia="Times New Roman" w:hAnsi="Times New Roman"/>
          <w:sz w:val="18"/>
          <w:szCs w:val="18"/>
          <w:u w:val="single" w:color="auto"/>
          <w:color w:val="auto"/>
        </w:rPr>
        <w:t>Section 3.1(h)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Secretary’s Certificate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2.2(a)(vi)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jc w:val="both"/>
        <w:ind w:left="4"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Short Sales</w:t>
      </w:r>
      <w:r>
        <w:rPr>
          <w:rFonts w:ascii="Times New Roman" w:cs="Times New Roman" w:eastAsia="Times New Roman" w:hAnsi="Times New Roman"/>
          <w:sz w:val="18"/>
          <w:szCs w:val="18"/>
          <w:color w:val="auto"/>
        </w:rPr>
        <w:t>” include, without limitation, (i) all “short sales” as defined in Rule 200 promulgated under Regulation SHO under the Exchange Act, whether or not against the box, and all types of direct and indirect stock pledges, forward sale contracts, options, puts, calls, short sales, swaps, “put equivalent positions” (as defined in Rule 16a-1(h) under the Exchange Act) and similar arrangements (including on a total return basis), and</w:t>
      </w:r>
    </w:p>
    <w:p>
      <w:pPr>
        <w:spacing w:after="0" w:line="1" w:lineRule="exact"/>
        <w:rPr>
          <w:sz w:val="20"/>
          <w:szCs w:val="20"/>
          <w:color w:val="auto"/>
        </w:rPr>
      </w:pPr>
    </w:p>
    <w:p>
      <w:pPr>
        <w:ind w:left="4" w:right="20" w:hanging="4"/>
        <w:spacing w:after="0" w:line="260" w:lineRule="auto"/>
        <w:tabs>
          <w:tab w:leader="none" w:pos="2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other transactions through non-U.S. broker dealers or foreign regulated brokers (but shall not be deemed to include the location and/or reservation of borrowable shares of Common Stock).</w:t>
      </w:r>
    </w:p>
    <w:p>
      <w:pPr>
        <w:spacing w:after="0" w:line="17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Subscription Amount</w:t>
      </w:r>
      <w:r>
        <w:rPr>
          <w:rFonts w:ascii="Times New Roman" w:cs="Times New Roman" w:eastAsia="Times New Roman" w:hAnsi="Times New Roman"/>
          <w:sz w:val="18"/>
          <w:szCs w:val="18"/>
          <w:color w:val="auto"/>
        </w:rPr>
        <w:t>” means the Pre-Funded Warrant Subscription Amount.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Subsidiaries</w:t>
      </w:r>
      <w:r>
        <w:rPr>
          <w:rFonts w:ascii="Times New Roman" w:cs="Times New Roman" w:eastAsia="Times New Roman" w:hAnsi="Times New Roman"/>
          <w:sz w:val="18"/>
          <w:szCs w:val="18"/>
          <w:color w:val="auto"/>
        </w:rPr>
        <w:t>” means the direct or indirect subsidiaries of the Company.</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Threshold Amount</w:t>
      </w:r>
      <w:r>
        <w:rPr>
          <w:rFonts w:ascii="Times New Roman" w:cs="Times New Roman" w:eastAsia="Times New Roman" w:hAnsi="Times New Roman"/>
          <w:sz w:val="18"/>
          <w:szCs w:val="18"/>
          <w:color w:val="auto"/>
        </w:rPr>
        <w:t>” means 19.99% of the outstanding shares of Common Stock or the voting power of the Company.</w:t>
      </w:r>
    </w:p>
    <w:p>
      <w:pPr>
        <w:spacing w:after="0" w:line="160"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4"/>
          </w:cols>
          <w:pgMar w:left="436" w:top="268" w:right="439" w:bottom="1440" w:gutter="0" w:footer="0" w:header="0"/>
        </w:sectPr>
      </w:pPr>
    </w:p>
    <w:bookmarkStart w:id="9" w:name="page10"/>
    <w:bookmarkEnd w:id="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Trading Affiliate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91"/>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Trading Day</w:t>
      </w:r>
      <w:r>
        <w:rPr>
          <w:rFonts w:ascii="Times New Roman" w:cs="Times New Roman" w:eastAsia="Times New Roman" w:hAnsi="Times New Roman"/>
          <w:sz w:val="17"/>
          <w:szCs w:val="17"/>
          <w:color w:val="auto"/>
        </w:rPr>
        <w:t xml:space="preserve">” means (i) a day on which the shares of Common Stock are listed or quoted and traded on the Principal Trading Market (other than the OTC Bulletin Board), or (ii) if the shares of Common Stock are not listed on a Trading Market (other than the OTC Bulletin Board), a day on which the shares of Common Stock are traded in the over-the-counter market, as reported by the OTC Bulletin Board, or (iii) if the shares of Common Stock are not quoted on any Trading Market, a day on which the shares of Common Stock are quoted in the over-the-counter market as reported in the “pink sheets” by Pink Sheets LLC (or any similar organization or agency succeeding to its functions of reporting prices);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in the event that the shares of Common Stock are not listed or quoted as set forth in (i), (ii) and (iii) hereof, then Trading Day shall mean a Business Day.</w:t>
      </w:r>
    </w:p>
    <w:p>
      <w:pPr>
        <w:spacing w:after="0" w:line="168" w:lineRule="exact"/>
        <w:rPr>
          <w:sz w:val="20"/>
          <w:szCs w:val="20"/>
          <w:color w:val="auto"/>
        </w:rPr>
      </w:pPr>
    </w:p>
    <w:p>
      <w:pPr>
        <w:jc w:val="both"/>
        <w:ind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Trading Market</w:t>
      </w:r>
      <w:r>
        <w:rPr>
          <w:rFonts w:ascii="Times New Roman" w:cs="Times New Roman" w:eastAsia="Times New Roman" w:hAnsi="Times New Roman"/>
          <w:sz w:val="18"/>
          <w:szCs w:val="18"/>
          <w:color w:val="auto"/>
        </w:rPr>
        <w:t>” means whichever of the New York Stock Exchange, the NYSE MKT, the Nasdaq Global Select Market, the Nasdaq Global Market, the Nasdaq Capital Market or the OTC Bulletin Board on which the shares of Common Stock are listed or quoted for trading on the date in question.</w:t>
      </w:r>
    </w:p>
    <w:p>
      <w:pPr>
        <w:spacing w:after="0" w:line="173" w:lineRule="exact"/>
        <w:rPr>
          <w:sz w:val="20"/>
          <w:szCs w:val="20"/>
          <w:color w:val="auto"/>
        </w:rPr>
      </w:pPr>
    </w:p>
    <w:p>
      <w:pPr>
        <w:jc w:val="both"/>
        <w:ind w:right="2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Transaction Documents</w:t>
      </w:r>
      <w:r>
        <w:rPr>
          <w:rFonts w:ascii="Times New Roman" w:cs="Times New Roman" w:eastAsia="Times New Roman" w:hAnsi="Times New Roman"/>
          <w:sz w:val="18"/>
          <w:szCs w:val="18"/>
          <w:color w:val="auto"/>
        </w:rPr>
        <w:t>” means this Agreement, the schedules and exhibits attached hereto, the Pre-Funded Warrants, the Registration Rights Agreement and any other documents or agreements explicitly contemplated hereunder.</w:t>
      </w:r>
    </w:p>
    <w:p>
      <w:pPr>
        <w:spacing w:after="0" w:line="158" w:lineRule="exact"/>
        <w:rPr>
          <w:sz w:val="20"/>
          <w:szCs w:val="20"/>
          <w:color w:val="auto"/>
        </w:rPr>
      </w:pPr>
    </w:p>
    <w:p>
      <w:pPr>
        <w:jc w:val="both"/>
        <w:ind w:right="2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Transfer Agent</w:t>
      </w:r>
      <w:r>
        <w:rPr>
          <w:rFonts w:ascii="Times New Roman" w:cs="Times New Roman" w:eastAsia="Times New Roman" w:hAnsi="Times New Roman"/>
          <w:sz w:val="18"/>
          <w:szCs w:val="18"/>
          <w:color w:val="auto"/>
        </w:rPr>
        <w:t>” means Computershare Trust Company, N.A., the current transfer agent of the Company, with a mailing address of 150 Royall Street, Canton, MA 02021, or any successor transfer agent for the Company.</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USPTO</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XBRL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AND SALE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87"/>
        <w:spacing w:after="0" w:line="258" w:lineRule="auto"/>
        <w:tabs>
          <w:tab w:leader="none" w:pos="124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Subject to the terms and conditions set forth in this Agreement, at the Closing, the Company shall issue and sell to each Purchaser, and each Purchaser shall, severally and not jointly, purchase from the Company, a Pre-Funded Warrant to purchase a number of Pre-Funded Warrant Shares equal to the quotient resulting from dividing (1) the Pre-Funded Warrant Subscription Amount for such Purchaser by (2) the Pre-Funded Warrant Purchase Price, rounded down to the nearest whole number of Pre-Funded Warrant Shares. The Pre-Funded Warrants shall have an exercise price equal to $0.0001 per Pre-Funded Warrant Share.</w:t>
      </w:r>
    </w:p>
    <w:p>
      <w:pPr>
        <w:spacing w:after="0" w:line="183" w:lineRule="exact"/>
        <w:rPr>
          <w:rFonts w:ascii="Times New Roman" w:cs="Times New Roman" w:eastAsia="Times New Roman" w:hAnsi="Times New Roman"/>
          <w:sz w:val="18"/>
          <w:szCs w:val="18"/>
          <w:color w:val="auto"/>
        </w:rPr>
      </w:pPr>
    </w:p>
    <w:p>
      <w:pPr>
        <w:ind w:right="20" w:firstLine="987"/>
        <w:spacing w:after="0" w:line="282" w:lineRule="auto"/>
        <w:tabs>
          <w:tab w:leader="none" w:pos="124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purchase and sale of the Pre-Funded Warrants shall take place remotely, via the exchange of documents and signatures, on the Closing Date.</w:t>
      </w:r>
    </w:p>
    <w:p>
      <w:pPr>
        <w:spacing w:after="0" w:line="161" w:lineRule="exact"/>
        <w:rPr>
          <w:rFonts w:ascii="Times New Roman" w:cs="Times New Roman" w:eastAsia="Times New Roman" w:hAnsi="Times New Roman"/>
          <w:sz w:val="18"/>
          <w:szCs w:val="18"/>
          <w:color w:val="auto"/>
        </w:rPr>
      </w:pPr>
    </w:p>
    <w:p>
      <w:pPr>
        <w:jc w:val="both"/>
        <w:ind w:firstLine="987"/>
        <w:spacing w:after="0" w:line="255" w:lineRule="auto"/>
        <w:tabs>
          <w:tab w:leader="none" w:pos="12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of Payment</w:t>
      </w:r>
      <w:r>
        <w:rPr>
          <w:rFonts w:ascii="Times New Roman" w:cs="Times New Roman" w:eastAsia="Times New Roman" w:hAnsi="Times New Roman"/>
          <w:sz w:val="18"/>
          <w:szCs w:val="18"/>
          <w:color w:val="auto"/>
        </w:rPr>
        <w:t xml:space="preserve">. Except as may otherwise be agreed to among the Company and one or more of the Purchasers, on the Closing Date, each Purchaser shall wire its Subscription Amount, in United States dollars and in immediately available funds, to the Company pursuant to wire instructions previously provided by the Company to each Purchaser prior to the date of this Agreement. Within three (3) Trading Days after the Closing, the Company shall deliver to each Purchaser one or more Pre-Funded Warrants in physical form, free and clear of all restrictive and other legends (except as expressly provided in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 xml:space="preserve"> hereof or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evidencing the number of Pre-Funded Warrant Shares underlying the Pre-Funded Warrant(s) such Purchaser is purchasing as is set forth on such Purchaser’s signature page to this Agreement next to the heading “Underlying Pre-Funded Warrant Shares Subject to Pre-Funded Warrant to be Acquired”.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68" w:right="439" w:bottom="1440" w:gutter="0" w:footer="0" w:header="0"/>
        </w:sectPr>
      </w:pPr>
    </w:p>
    <w:bookmarkStart w:id="10" w:name="page11"/>
    <w:bookmarkEnd w:id="10"/>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2.2 </w:t>
      </w:r>
      <w:r>
        <w:rPr>
          <w:rFonts w:ascii="Times New Roman" w:cs="Times New Roman" w:eastAsia="Times New Roman" w:hAnsi="Times New Roman"/>
          <w:sz w:val="18"/>
          <w:szCs w:val="18"/>
          <w:u w:val="single" w:color="auto"/>
          <w:color w:val="auto"/>
        </w:rPr>
        <w:t>Closing Deliveries</w:t>
      </w:r>
      <w:r>
        <w:rPr>
          <w:rFonts w:ascii="Times New Roman" w:cs="Times New Roman" w:eastAsia="Times New Roman" w:hAnsi="Times New Roman"/>
          <w:sz w:val="18"/>
          <w:szCs w:val="18"/>
          <w:color w:val="auto"/>
        </w:rPr>
        <w:t>. (a) On or prior to the Closing, the Company shall issue, deliver or cause to be delivered to each Purchaser the following (the “</w:t>
      </w:r>
      <w:r>
        <w:rPr>
          <w:rFonts w:ascii="Times New Roman" w:cs="Times New Roman" w:eastAsia="Times New Roman" w:hAnsi="Times New Roman"/>
          <w:sz w:val="18"/>
          <w:szCs w:val="18"/>
          <w:i w:val="1"/>
          <w:iCs w:val="1"/>
          <w:color w:val="auto"/>
        </w:rPr>
        <w:t>Company Deliverables</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1644" w:hanging="212"/>
        <w:spacing w:after="0"/>
        <w:tabs>
          <w:tab w:leader="none" w:pos="1644"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Company;</w:t>
      </w:r>
    </w:p>
    <w:p>
      <w:pPr>
        <w:spacing w:after="0" w:line="225" w:lineRule="exact"/>
        <w:rPr>
          <w:rFonts w:ascii="Times New Roman" w:cs="Times New Roman" w:eastAsia="Times New Roman" w:hAnsi="Times New Roman"/>
          <w:sz w:val="18"/>
          <w:szCs w:val="18"/>
          <w:color w:val="auto"/>
        </w:rPr>
      </w:pPr>
    </w:p>
    <w:p>
      <w:pPr>
        <w:jc w:val="both"/>
        <w:ind w:left="4" w:firstLine="1428"/>
        <w:spacing w:after="0" w:line="255" w:lineRule="auto"/>
        <w:tabs>
          <w:tab w:leader="none" w:pos="1701"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electronic copies of the Pre-Funded Warrants, executed by the Company and registered in the name of such Purchaser as set forth on the Book-Entry Questionnaire included as </w:t>
      </w:r>
      <w:r>
        <w:rPr>
          <w:rFonts w:ascii="Times New Roman" w:cs="Times New Roman" w:eastAsia="Times New Roman" w:hAnsi="Times New Roman"/>
          <w:sz w:val="18"/>
          <w:szCs w:val="18"/>
          <w:u w:val="single" w:color="auto"/>
          <w:color w:val="auto"/>
        </w:rPr>
        <w:t>Exhibit C-2</w:t>
      </w:r>
      <w:r>
        <w:rPr>
          <w:rFonts w:ascii="Times New Roman" w:cs="Times New Roman" w:eastAsia="Times New Roman" w:hAnsi="Times New Roman"/>
          <w:sz w:val="18"/>
          <w:szCs w:val="18"/>
          <w:color w:val="auto"/>
        </w:rPr>
        <w:t xml:space="preserve"> hereto, pursuant to which such Purchaser shall have the right to acquire such number of Pre-Funded Warrant Shares as is set forth on such Purchaser’s signature page to this Agreement next to the heading “Underlying Pre-Funded Warrant Shares Subject to Pre-Funded Warrant to be Acquired”, on the terms set forth therein, with the original Pre-Funded Warrants delivered within three</w:t>
      </w:r>
    </w:p>
    <w:p>
      <w:pPr>
        <w:spacing w:after="0" w:line="2" w:lineRule="exact"/>
        <w:rPr>
          <w:rFonts w:ascii="Times New Roman" w:cs="Times New Roman" w:eastAsia="Times New Roman" w:hAnsi="Times New Roman"/>
          <w:sz w:val="18"/>
          <w:szCs w:val="18"/>
          <w:color w:val="auto"/>
        </w:rPr>
      </w:pPr>
    </w:p>
    <w:p>
      <w:pPr>
        <w:ind w:left="4" w:right="20" w:hanging="4"/>
        <w:spacing w:after="0" w:line="260" w:lineRule="auto"/>
        <w:tabs>
          <w:tab w:leader="none" w:pos="25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Trading Days of Closing;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shall have received a completed Book-Entry Questionnaire from each such Purchaser at a time mutually agreed upon by the Company and such Purchaser;</w:t>
      </w:r>
    </w:p>
    <w:p>
      <w:pPr>
        <w:spacing w:after="0" w:line="181" w:lineRule="exact"/>
        <w:rPr>
          <w:rFonts w:ascii="Times New Roman" w:cs="Times New Roman" w:eastAsia="Times New Roman" w:hAnsi="Times New Roman"/>
          <w:sz w:val="18"/>
          <w:szCs w:val="18"/>
          <w:color w:val="auto"/>
        </w:rPr>
      </w:pPr>
    </w:p>
    <w:p>
      <w:pPr>
        <w:ind w:left="4" w:right="20" w:firstLine="1428"/>
        <w:spacing w:after="0" w:line="282" w:lineRule="auto"/>
        <w:tabs>
          <w:tab w:leader="none" w:pos="1758"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legal opinion of Company U.S. Counsel, dated as of the Closing Date and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executed by such counsel and addressed to the Purchasers;</w:t>
      </w:r>
    </w:p>
    <w:p>
      <w:pPr>
        <w:spacing w:after="0" w:line="161" w:lineRule="exact"/>
        <w:rPr>
          <w:rFonts w:ascii="Times New Roman" w:cs="Times New Roman" w:eastAsia="Times New Roman" w:hAnsi="Times New Roman"/>
          <w:sz w:val="18"/>
          <w:szCs w:val="18"/>
          <w:color w:val="auto"/>
        </w:rPr>
      </w:pPr>
    </w:p>
    <w:p>
      <w:pPr>
        <w:ind w:left="1744" w:hanging="312"/>
        <w:spacing w:after="0"/>
        <w:tabs>
          <w:tab w:leader="none" w:pos="1744"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Rights Agreement, duly executed by the Company;</w:t>
      </w:r>
    </w:p>
    <w:p>
      <w:pPr>
        <w:spacing w:after="0" w:line="223" w:lineRule="exact"/>
        <w:rPr>
          <w:rFonts w:ascii="Times New Roman" w:cs="Times New Roman" w:eastAsia="Times New Roman" w:hAnsi="Times New Roman"/>
          <w:sz w:val="18"/>
          <w:szCs w:val="18"/>
          <w:color w:val="auto"/>
        </w:rPr>
      </w:pPr>
    </w:p>
    <w:p>
      <w:pPr>
        <w:jc w:val="both"/>
        <w:ind w:left="4" w:firstLine="1428"/>
        <w:spacing w:after="0" w:line="258" w:lineRule="auto"/>
        <w:tabs>
          <w:tab w:leader="none" w:pos="1712"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Secretary of the Company (the “</w:t>
      </w:r>
      <w:r>
        <w:rPr>
          <w:rFonts w:ascii="Times New Roman" w:cs="Times New Roman" w:eastAsia="Times New Roman" w:hAnsi="Times New Roman"/>
          <w:sz w:val="18"/>
          <w:szCs w:val="18"/>
          <w:i w:val="1"/>
          <w:iCs w:val="1"/>
          <w:color w:val="auto"/>
        </w:rPr>
        <w:t>Secretary’s Certificate</w:t>
      </w:r>
      <w:r>
        <w:rPr>
          <w:rFonts w:ascii="Times New Roman" w:cs="Times New Roman" w:eastAsia="Times New Roman" w:hAnsi="Times New Roman"/>
          <w:sz w:val="18"/>
          <w:szCs w:val="18"/>
          <w:color w:val="auto"/>
        </w:rPr>
        <w:t xml:space="preserve">”), dated as of the Closing Date, (a) certifying the resolutions adopted by the Board of Directors of the Company or a duly authorized committee thereof approving the transactions contemplated by this Agreement and the other Transaction Documents and the issuance of the Securities, (b) certifying the current versions of the Company’s certificate of incorporation and bylaws and (c) certifying as to the signatures and authority of persons signing the Transaction Documents and related documents on behalf of the Company, in the form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left="1744" w:hanging="312"/>
        <w:spacing w:after="0"/>
        <w:tabs>
          <w:tab w:leader="none" w:pos="1744"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Officer’s Certificate referred to in </w:t>
      </w:r>
      <w:r>
        <w:rPr>
          <w:rFonts w:ascii="Times New Roman" w:cs="Times New Roman" w:eastAsia="Times New Roman" w:hAnsi="Times New Roman"/>
          <w:sz w:val="18"/>
          <w:szCs w:val="18"/>
          <w:u w:val="single" w:color="auto"/>
          <w:color w:val="auto"/>
        </w:rPr>
        <w:t>Section 5.1(i)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firstLine="1428"/>
        <w:spacing w:after="0" w:line="282" w:lineRule="auto"/>
        <w:tabs>
          <w:tab w:leader="none" w:pos="1819"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evidencing the good standing of the Company issued by the Secretary of State of the State of Delaware (the “</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 as of a date within five (5) Business Days of the Closing Date; and</w:t>
      </w:r>
    </w:p>
    <w:p>
      <w:pPr>
        <w:spacing w:after="0" w:line="161" w:lineRule="exact"/>
        <w:rPr>
          <w:rFonts w:ascii="Times New Roman" w:cs="Times New Roman" w:eastAsia="Times New Roman" w:hAnsi="Times New Roman"/>
          <w:sz w:val="18"/>
          <w:szCs w:val="18"/>
          <w:color w:val="auto"/>
        </w:rPr>
      </w:pPr>
    </w:p>
    <w:p>
      <w:pPr>
        <w:ind w:left="1844" w:hanging="412"/>
        <w:spacing w:after="0"/>
        <w:tabs>
          <w:tab w:leader="none" w:pos="1844"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of the Company, as certified by the Registrar, as of a date within five (5) Business Days of the</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Date.</w:t>
      </w:r>
    </w:p>
    <w:p>
      <w:pPr>
        <w:spacing w:after="0" w:line="204" w:lineRule="exact"/>
        <w:rPr>
          <w:rFonts w:ascii="Times New Roman" w:cs="Times New Roman" w:eastAsia="Times New Roman" w:hAnsi="Times New Roman"/>
          <w:sz w:val="18"/>
          <w:szCs w:val="18"/>
          <w:color w:val="auto"/>
        </w:rPr>
      </w:pPr>
    </w:p>
    <w:p>
      <w:pPr>
        <w:ind w:left="1284" w:hanging="293"/>
        <w:spacing w:after="0"/>
        <w:tabs>
          <w:tab w:leader="none" w:pos="128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each Purchaser shall deliver or cause to be delivered to the Company the following (the “</w:t>
      </w:r>
      <w:r>
        <w:rPr>
          <w:rFonts w:ascii="Times New Roman" w:cs="Times New Roman" w:eastAsia="Times New Roman" w:hAnsi="Times New Roman"/>
          <w:sz w:val="18"/>
          <w:szCs w:val="18"/>
          <w:i w:val="1"/>
          <w:iCs w:val="1"/>
          <w:color w:val="auto"/>
        </w:rPr>
        <w:t>Purchaser</w:t>
      </w:r>
    </w:p>
    <w:p>
      <w:pPr>
        <w:spacing w:after="0" w:line="29"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Deliverables</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color w:val="auto"/>
        </w:rPr>
      </w:pPr>
    </w:p>
    <w:p>
      <w:pPr>
        <w:ind w:left="1644" w:hanging="212"/>
        <w:spacing w:after="0"/>
        <w:tabs>
          <w:tab w:leader="none" w:pos="1644"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such Purchaser;</w:t>
      </w:r>
    </w:p>
    <w:p>
      <w:pPr>
        <w:spacing w:after="0" w:line="225" w:lineRule="exact"/>
        <w:rPr>
          <w:rFonts w:ascii="Times New Roman" w:cs="Times New Roman" w:eastAsia="Times New Roman" w:hAnsi="Times New Roman"/>
          <w:sz w:val="18"/>
          <w:szCs w:val="18"/>
          <w:color w:val="auto"/>
        </w:rPr>
      </w:pPr>
    </w:p>
    <w:p>
      <w:pPr>
        <w:jc w:val="both"/>
        <w:ind w:left="4" w:firstLine="1428"/>
        <w:spacing w:after="0" w:line="266" w:lineRule="auto"/>
        <w:tabs>
          <w:tab w:leader="none" w:pos="1704"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Subscription Amount, in United States dollars and in immediately available funds, in the amount set forth as the “Pre-Funded Warrant Subscription Amount”, indicated below such Purchaser’s name on the applicable signature page hereto by wire transfer to the Company, which Subscription Amount must be wired on the Closing Date;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4"/>
          </w:cols>
          <w:pgMar w:left="436" w:top="270" w:right="439" w:bottom="1440" w:gutter="0" w:footer="0" w:header="0"/>
        </w:sectPr>
      </w:pPr>
    </w:p>
    <w:bookmarkStart w:id="11" w:name="page12"/>
    <w:bookmarkEnd w:id="11"/>
    <w:p>
      <w:pPr>
        <w:ind w:left="1740" w:hanging="312"/>
        <w:spacing w:after="0"/>
        <w:tabs>
          <w:tab w:leader="none" w:pos="1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Registration Rights Agreement, duly executed by such Purchaser;</w:t>
      </w:r>
    </w:p>
    <w:p>
      <w:pPr>
        <w:spacing w:after="0" w:line="225" w:lineRule="exact"/>
        <w:rPr>
          <w:rFonts w:ascii="Times New Roman" w:cs="Times New Roman" w:eastAsia="Times New Roman" w:hAnsi="Times New Roman"/>
          <w:sz w:val="18"/>
          <w:szCs w:val="18"/>
          <w:color w:val="auto"/>
        </w:rPr>
      </w:pPr>
    </w:p>
    <w:p>
      <w:pPr>
        <w:ind w:right="20" w:firstLine="1428"/>
        <w:spacing w:after="0" w:line="282" w:lineRule="auto"/>
        <w:tabs>
          <w:tab w:leader="none" w:pos="175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fully completed and duly executed Selling Stockholder Notice and Questionnaire in the form attached as Exhibit B to the Registration Rights Agreement; and</w:t>
      </w:r>
    </w:p>
    <w:p>
      <w:pPr>
        <w:spacing w:after="0" w:line="161" w:lineRule="exact"/>
        <w:rPr>
          <w:rFonts w:ascii="Times New Roman" w:cs="Times New Roman" w:eastAsia="Times New Roman" w:hAnsi="Times New Roman"/>
          <w:sz w:val="18"/>
          <w:szCs w:val="18"/>
          <w:color w:val="auto"/>
        </w:rPr>
      </w:pPr>
    </w:p>
    <w:p>
      <w:pPr>
        <w:jc w:val="both"/>
        <w:ind w:right="20" w:firstLine="1428"/>
        <w:spacing w:after="0" w:line="266" w:lineRule="auto"/>
        <w:tabs>
          <w:tab w:leader="none" w:pos="174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fully completed and duly executed Accredited Investor Questionnaire, satisfactory to the Company, and Book-Entry Questionnaire in the forms attached hereto as </w:t>
      </w:r>
      <w:r>
        <w:rPr>
          <w:rFonts w:ascii="Times New Roman" w:cs="Times New Roman" w:eastAsia="Times New Roman" w:hAnsi="Times New Roman"/>
          <w:sz w:val="18"/>
          <w:szCs w:val="18"/>
          <w:u w:val="single" w:color="auto"/>
          <w:color w:val="auto"/>
        </w:rPr>
        <w:t>Exhibits C-1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B-2</w:t>
      </w:r>
      <w:r>
        <w:rPr>
          <w:rFonts w:ascii="Times New Roman" w:cs="Times New Roman" w:eastAsia="Times New Roman" w:hAnsi="Times New Roman"/>
          <w:sz w:val="18"/>
          <w:szCs w:val="18"/>
          <w:color w:val="auto"/>
        </w:rPr>
        <w:t>, respectively, which Accredited Investor Questionnaire and Book-Entry Questionnaire must be received by the Company at a time mutually agreed upon by the Company and such Purchaser.</w:t>
      </w:r>
    </w:p>
    <w:p>
      <w:pPr>
        <w:spacing w:after="0" w:line="38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0"/>
          <w:szCs w:val="20"/>
          <w:color w:val="auto"/>
        </w:rPr>
        <w:t>ARTICLE III.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disclosed in the SEC Reports, the Company hereby represents and warrants as of the date hereof and the Closing Date (except for the representations and warranties that speak as of a specific date, which shall be made as of such date), to each of the Purchasers:</w:t>
      </w:r>
    </w:p>
    <w:p>
      <w:pPr>
        <w:spacing w:after="0" w:line="68" w:lineRule="exact"/>
        <w:rPr>
          <w:sz w:val="20"/>
          <w:szCs w:val="20"/>
          <w:color w:val="auto"/>
        </w:rPr>
      </w:pPr>
    </w:p>
    <w:p>
      <w:pPr>
        <w:jc w:val="both"/>
        <w:ind w:right="20" w:firstLine="987"/>
        <w:spacing w:after="0" w:line="266" w:lineRule="auto"/>
        <w:tabs>
          <w:tab w:leader="none" w:pos="12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The Company does not own or Control, directly or indirectly, any corporation, association or other entity other than the Subsidiaries listed in Exhibit 21.1 to the Company’s Amendment No. 1 to Annual Report on Form 10-K for the fiscal year ended December 31, 2022, except for Zymeworks Zanidatamab Inc., which is no longer a subsidiary of the Company.</w:t>
      </w:r>
    </w:p>
    <w:p>
      <w:pPr>
        <w:spacing w:after="0" w:line="175" w:lineRule="exact"/>
        <w:rPr>
          <w:rFonts w:ascii="Times New Roman" w:cs="Times New Roman" w:eastAsia="Times New Roman" w:hAnsi="Times New Roman"/>
          <w:sz w:val="18"/>
          <w:szCs w:val="18"/>
          <w:color w:val="auto"/>
        </w:rPr>
      </w:pPr>
    </w:p>
    <w:p>
      <w:pPr>
        <w:jc w:val="both"/>
        <w:ind w:firstLine="987"/>
        <w:spacing w:after="0" w:line="252" w:lineRule="auto"/>
        <w:tabs>
          <w:tab w:leader="none" w:pos="128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its Subsidiaries have been duly organized, are validly existing as corporations or limited liability entities and are in good standing under the laws of their respective jurisdictions of organization, except where the failure to be so duly organized, validly existing and in good standing would not reasonably be expected to have a Material Adverse Effect (as defined below). The Company and each of its Subsidiaries are, and will be, duly licensed or qualified as a foreign corporation for the transaction of business and in good standing under the laws of each other jurisdiction in which their respective ownership or lease of property or the conduct of their respective businesses requires such license or qualification, and have all corporate power and authority necessary to own or hold their respective properties and to conduct their respective businesses as described in the SEC Reports, except where the failure to be so qualified or in good standing or have such power or authority would not reasonably be expected to have a material adverse effect on or affecting the assets, business, operations, earnings, properties, condition (financial or otherwise), prospects, stockholders’ equity or results of operations of the Company and the Subsidiaries taken as a whole, or prevent or materially interfere with the consummation of the transactions contemplated hereby (a “</w:t>
      </w:r>
      <w:r>
        <w:rPr>
          <w:rFonts w:ascii="Times New Roman" w:cs="Times New Roman" w:eastAsia="Times New Roman" w:hAnsi="Times New Roman"/>
          <w:sz w:val="18"/>
          <w:szCs w:val="18"/>
          <w:i w:val="1"/>
          <w:iCs w:val="1"/>
          <w:color w:val="auto"/>
        </w:rPr>
        <w:t>Material Adverse Effect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any of the following, either alone or in combination, shall not be deemed a Material Adverse Effect: (i) effects caused by changes or circumstances affecting general market conditions in the U.S., Canadian or global economies or which are generally applicable to the industry in which the Company operates,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effects are not borne disproportionately by the Company, (ii) effects resulting from or relating to the announcement or disclosure of the sale of the Securities or other transactions contemplated by the Transaction Documents, or (iii) effects caused by any event, occurrence or condition resulting from or relating to the taking of any action in accordance with the Transaction Documents.</w:t>
      </w:r>
    </w:p>
    <w:p>
      <w:pPr>
        <w:spacing w:after="0" w:line="195"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7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The Company has all requisite corporate power and authority to execute, deliver and perform its obligations contemplated by each of the Transaction Documents to which it is a party. Each of the Transaction Documents to which the Company is a party has been duly and validly authorized, executed and delivered by the Company.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12" w:name="page13"/>
    <w:bookmarkEnd w:id="12"/>
    <w:p>
      <w:pPr>
        <w:jc w:val="both"/>
        <w:ind w:right="20" w:firstLine="987"/>
        <w:spacing w:after="0" w:line="253" w:lineRule="auto"/>
        <w:tabs>
          <w:tab w:leader="none" w:pos="12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Conflicts</w:t>
      </w:r>
      <w:r>
        <w:rPr>
          <w:rFonts w:ascii="Times New Roman" w:cs="Times New Roman" w:eastAsia="Times New Roman" w:hAnsi="Times New Roman"/>
          <w:sz w:val="18"/>
          <w:szCs w:val="18"/>
          <w:color w:val="auto"/>
        </w:rPr>
        <w:t>. The issue and sale of the Pre-Funded Warrants and the reservation for issuance and issuance of the Pre-Funded Warrant Shares, the execution, delivery and performance of the Transaction Documents to which the Company is a party and the consummation of the transactions contemplated by the Transaction Documents will not (i) conflict with or result in a breach or violation of, impose any lien, charge or encumbrance upon any property or assets of the Company and its Subsidiaries, or constitute a default under, any indenture, mortgage, deed of trust, loan agreement, license, lease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certificate of incorporation or bylaws (or similar organizational documents) of the Company or any of its Subsidiaries; or (iii) result in any violation of any statute or any judgment, order, decree, rule or regulation of any court or governmental agency or body having jurisdiction over the Company or any of its Subsidiaries or any of their properties or assets, except, with respect to clauses (i) and (iii), for such conflicts, breaches, violations, liens, charges, encumbrances or defaults that would not, individually or in the aggregate, reasonably be expected to have a Material Adverse Effect.</w:t>
      </w:r>
    </w:p>
    <w:p>
      <w:pPr>
        <w:spacing w:after="0" w:line="191" w:lineRule="exact"/>
        <w:rPr>
          <w:rFonts w:ascii="Times New Roman" w:cs="Times New Roman" w:eastAsia="Times New Roman" w:hAnsi="Times New Roman"/>
          <w:sz w:val="18"/>
          <w:szCs w:val="18"/>
          <w:color w:val="auto"/>
        </w:rPr>
      </w:pPr>
    </w:p>
    <w:p>
      <w:pPr>
        <w:jc w:val="both"/>
        <w:ind w:firstLine="987"/>
        <w:spacing w:after="0" w:line="253" w:lineRule="auto"/>
        <w:tabs>
          <w:tab w:leader="none" w:pos="12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xml:space="preserve">. No consent, approval, authorization or order of, or filing, registration or qualification with, any court or governmental agency or body having jurisdiction over the Company or any of its Subsidiaries or any of their respective properties or assets is required for the issue and sale of the Securities, the execution, delivery and performance by the Company of the Transaction Documents to which the Company is a party, the consummation of the transactions contemplated by the Transaction Documents, except for (i) such consents, approvals, authorizations, orders, filings, registrations or qualifications as may be required under the Exchange Act, (ii) the filing with the Commission of one or more registration statements in accordance with the requirements of the Registration Rights Agreement, (iii) filings required by applicable federal, state, provincial, or foreign securities laws (including filings under Canadian Securities Laws), (iv) the filing of a Notice of Sale of Securities on Form D with the Commission under Regulation D of the Securities Act, (v) the filing of any requisite notices and/or application(s) to the Principal Trading Market for the issuance and sale of the Securities and the listing of the Pre-Funded Warrant Shares for trading or quotation, as the case may be, thereon in the time and manner required thereby, (vi) the filings required in accordance with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of this Agreement and (vii) those that have been made or obtained prior to the date of this Agreement (collectively, the “</w:t>
      </w:r>
      <w:r>
        <w:rPr>
          <w:rFonts w:ascii="Times New Roman" w:cs="Times New Roman" w:eastAsia="Times New Roman" w:hAnsi="Times New Roman"/>
          <w:sz w:val="18"/>
          <w:szCs w:val="18"/>
          <w:i w:val="1"/>
          <w:iCs w:val="1"/>
          <w:color w:val="auto"/>
        </w:rPr>
        <w:t>Required Approvals</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firstLine="987"/>
        <w:spacing w:after="0" w:line="253" w:lineRule="auto"/>
        <w:tabs>
          <w:tab w:leader="none" w:pos="121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Securities</w:t>
      </w:r>
      <w:r>
        <w:rPr>
          <w:rFonts w:ascii="Times New Roman" w:cs="Times New Roman" w:eastAsia="Times New Roman" w:hAnsi="Times New Roman"/>
          <w:sz w:val="18"/>
          <w:szCs w:val="18"/>
          <w:color w:val="auto"/>
        </w:rPr>
        <w:t>. The Pre-Funded Warrants have been duly authorized and, when issued and paid for in accordance with the terms of the Transaction Documents, will be duly authorized and validly issued, free and clear of all liens, other than restrictions on transfer provided for in the Transaction Documents or imposed by applicable securities laws, and shall not be subject to preemptive or similar rights. The Pre-Funded Warrant Shares issuable upon exercise of the Pre-Funded Warrants have been duly authorized and, when issued and paid for in accordance with the terms of the Transaction Documents and the Pre-Funded Warrants, will be duly authorized and validly issued, fully paid and nonassessable, free and clear of all liens, other than restrictions on transfer provided for in the Transaction Documents or imposed by applicable securities laws, and shall not be subject to preemptive or similar rights. Assuming the accuracy of the representations and warranties of the Purchasers in this Agreement, the Securities will be issued in compliance with all applicable federal and state securities laws. As of the Closing Date, the Company shall have reserved from its duly authorized share capital the number of shares of Common Stock issuable upon exercise of the Pre-Funded Warrants (without taking into account any limitations on the exercise of the Pre-Funded Warrants set forth in the Pre-Funded Warrants). The Company shall, so long as any of the Pre-Funded Warrants are outstanding, take all action necessary to reserve and keep available out of its authorized and unissued share capital, solely for the purpose of effecting the exercise of the Pre-Funded Warrants, the number of shares of Common Stock issuable upon exercise of the Pre-Funded Warrants (without taking into account any limitations on the exercise of the Pre-Funded Warrants set forth in the Pre-Funded Warrants).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13" w:name="page14"/>
    <w:bookmarkEnd w:id="13"/>
    <w:p>
      <w:pPr>
        <w:jc w:val="both"/>
        <w:ind w:firstLine="987"/>
        <w:spacing w:after="0" w:line="261" w:lineRule="auto"/>
        <w:tabs>
          <w:tab w:leader="none" w:pos="12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Capitalization</w:t>
      </w:r>
      <w:r>
        <w:rPr>
          <w:rFonts w:ascii="Times New Roman" w:cs="Times New Roman" w:eastAsia="Times New Roman" w:hAnsi="Times New Roman"/>
          <w:sz w:val="18"/>
          <w:szCs w:val="18"/>
          <w:color w:val="auto"/>
        </w:rPr>
        <w:t>. The authorized, issued and outstanding shares of the Company are as set forth in the Company’s most recent SEC Filing as of the date indicated therein (except for subsequent issuances, if any, pursuant to this Agreement, pursuant to reservations, agreements or employee benefit plans referred to in the most recent SEC Filing or pursuant to the exercise of convertible securities or options referred to in the most recent SEC Filing). The outstanding share capital of the Company has been duly authorized and validly issued and is fully paid and non assessable.</w:t>
      </w:r>
    </w:p>
    <w:p>
      <w:pPr>
        <w:spacing w:after="0" w:line="179" w:lineRule="exact"/>
        <w:rPr>
          <w:rFonts w:ascii="Times New Roman" w:cs="Times New Roman" w:eastAsia="Times New Roman" w:hAnsi="Times New Roman"/>
          <w:sz w:val="18"/>
          <w:szCs w:val="18"/>
          <w:color w:val="auto"/>
        </w:rPr>
      </w:pPr>
    </w:p>
    <w:p>
      <w:pPr>
        <w:jc w:val="both"/>
        <w:ind w:firstLine="987"/>
        <w:spacing w:after="0" w:line="253" w:lineRule="auto"/>
        <w:tabs>
          <w:tab w:leader="none" w:pos="12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The Company has filed all reports, schedules, forms, statements and other documents required to be filed by it under the Exchange Act, including pursuant to Section 13(a) or 15(d) thereof, for the twelve months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 w:cs="Times New Roman" w:eastAsia="Times New Roman" w:hAnsi="Times New Roman"/>
          <w:sz w:val="18"/>
          <w:szCs w:val="18"/>
          <w:i w:val="1"/>
          <w:iCs w:val="1"/>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except where the failure to file on a timely basis would not have or reasonably be expected to result in a Material Adverse Effect (including, for this purpose only, any failure to qualify to register the Pre-Funded Warrant Shares for resale or which would prevent any Purchaser from using Rule 144 to resell any Securities). As of their respective filing dates, or to the extent corrected by a subsequent restatement, the SEC Reports complied in all material respects with the requirements of the Securities Act and the Exchange Act and the rules and regulations of the Commission promulgated thereunder, and none of the SEC Reports, when filed, contained any untrue statement of a material fact or omitted to state a material fact required to be stated therein or necessary in order to make the statements therein, in light of the circumstances under which they were made, not misleading. The Company has never been an issuer subject to Rule 144(i) under the Securities Act.</w:t>
      </w:r>
    </w:p>
    <w:p>
      <w:pPr>
        <w:spacing w:after="0" w:line="191" w:lineRule="exact"/>
        <w:rPr>
          <w:rFonts w:ascii="Times New Roman" w:cs="Times New Roman" w:eastAsia="Times New Roman" w:hAnsi="Times New Roman"/>
          <w:sz w:val="18"/>
          <w:szCs w:val="18"/>
          <w:color w:val="auto"/>
        </w:rPr>
      </w:pPr>
    </w:p>
    <w:p>
      <w:pPr>
        <w:jc w:val="both"/>
        <w:ind w:firstLine="987"/>
        <w:spacing w:after="0" w:line="254" w:lineRule="auto"/>
        <w:tabs>
          <w:tab w:leader="none" w:pos="12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historical financial statements (including the related notes and supporting schedules) included in the SEC Reports comply as to form in all material respects with the requirements of Regulation S-X under the Securities Act (“</w:t>
      </w:r>
      <w:r>
        <w:rPr>
          <w:rFonts w:ascii="Times New Roman" w:cs="Times New Roman" w:eastAsia="Times New Roman" w:hAnsi="Times New Roman"/>
          <w:sz w:val="18"/>
          <w:szCs w:val="18"/>
          <w:i w:val="1"/>
          <w:iCs w:val="1"/>
          <w:color w:val="auto"/>
        </w:rPr>
        <w:t>Regulation S-X</w:t>
      </w:r>
      <w:r>
        <w:rPr>
          <w:rFonts w:ascii="Times New Roman" w:cs="Times New Roman" w:eastAsia="Times New Roman" w:hAnsi="Times New Roman"/>
          <w:sz w:val="18"/>
          <w:szCs w:val="18"/>
          <w:color w:val="auto"/>
        </w:rPr>
        <w:t>”) and present fairly, in all material respects, the financial condition, results of operations and cash flows of the entities purported to be shown thereby at the dates and for the periods indicated and have been prepared in conformity with GAAP applied on a consistent basis throughout the periods involved (except as noted therein). There are no financial statements (historical or pro forma) that are required to be included in the SEC Reports that are not so included as required. The interactive data in eXtensible Business Reporting Language (“</w:t>
      </w:r>
      <w:r>
        <w:rPr>
          <w:rFonts w:ascii="Times New Roman" w:cs="Times New Roman" w:eastAsia="Times New Roman" w:hAnsi="Times New Roman"/>
          <w:sz w:val="18"/>
          <w:szCs w:val="18"/>
          <w:i w:val="1"/>
          <w:iCs w:val="1"/>
          <w:color w:val="auto"/>
        </w:rPr>
        <w:t>XBRL</w:t>
      </w:r>
      <w:r>
        <w:rPr>
          <w:rFonts w:ascii="Times New Roman" w:cs="Times New Roman" w:eastAsia="Times New Roman" w:hAnsi="Times New Roman"/>
          <w:sz w:val="18"/>
          <w:szCs w:val="18"/>
          <w:color w:val="auto"/>
        </w:rPr>
        <w:t>”) included or incorporated by reference in the SEC Reports fairly present the information called for in all material respects and have been prepared in accordance with the Commission’s rules and guidelines applicable thereto.</w:t>
      </w:r>
    </w:p>
    <w:p>
      <w:pPr>
        <w:spacing w:after="0" w:line="191" w:lineRule="exact"/>
        <w:rPr>
          <w:rFonts w:ascii="Times New Roman" w:cs="Times New Roman" w:eastAsia="Times New Roman" w:hAnsi="Times New Roman"/>
          <w:sz w:val="18"/>
          <w:szCs w:val="18"/>
          <w:color w:val="auto"/>
        </w:rPr>
      </w:pPr>
    </w:p>
    <w:p>
      <w:pPr>
        <w:jc w:val="both"/>
        <w:ind w:firstLine="987"/>
        <w:spacing w:after="0" w:line="253" w:lineRule="auto"/>
        <w:tabs>
          <w:tab w:leader="none" w:pos="120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w:t>
      </w:r>
      <w:r>
        <w:rPr>
          <w:rFonts w:ascii="Times New Roman" w:cs="Times New Roman" w:eastAsia="Times New Roman" w:hAnsi="Times New Roman"/>
          <w:sz w:val="18"/>
          <w:szCs w:val="18"/>
          <w:color w:val="auto"/>
        </w:rPr>
        <w:t>. Except as would not, in the aggregate, reasonably be expected to have a Material Adverse Effect, since the date of the latest audited financial statements included in the SEC Reports, and, except as disclosed in a subsequent SEC Report filed prior to the date hereof, neither the Company nor any of its Subsidiaries has (i) sustained any loss or interference with its business from fire, explosion, flood or other calamity, whether or not covered by insurance, or from any labor dispute or court or governmental action, order or decree, (ii) issued or granted any securities (other than pursuant to employee benefit plans, qualified stock option plans or other equity compensation plans or arrangements existing on the date hereof and disclosed in the SEC Reports), (iii) incurred any material liability or obligation, direct or contingent, other than liabilities and obligations that were incurred in the ordinary course of business, (iv) entered into any material transaction not in the ordinary course of business, or (v) declared or paid any dividend on its share capital; and since such date, except as disclosed in the SEC Reports, there has not been any change in the share capital, long-term debt, net current assets or short-term debt of the Company or any of its Subsidiaries or any adverse change, or any development involving a prospective adverse change, in or affecting the condition (financial or otherwise), prospects, results of operations, stockholders’ equity, properties, management or business of the Company and its Subsidiaries taken as a whole.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70" w:right="439" w:bottom="1440" w:gutter="0" w:footer="0" w:header="0"/>
        </w:sectPr>
      </w:pPr>
    </w:p>
    <w:bookmarkStart w:id="14" w:name="page15"/>
    <w:bookmarkEnd w:id="14"/>
    <w:p>
      <w:pPr>
        <w:jc w:val="both"/>
        <w:ind w:right="20" w:firstLine="987"/>
        <w:spacing w:after="0" w:line="258" w:lineRule="auto"/>
        <w:tabs>
          <w:tab w:leader="none" w:pos="12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Litigation</w:t>
      </w:r>
      <w:r>
        <w:rPr>
          <w:rFonts w:ascii="Times New Roman" w:cs="Times New Roman" w:eastAsia="Times New Roman" w:hAnsi="Times New Roman"/>
          <w:sz w:val="18"/>
          <w:szCs w:val="18"/>
          <w:color w:val="auto"/>
        </w:rPr>
        <w:t>. Except as disclosed in the SEC Reports, there are no legal or governmental Proceedings pending to which the Company or any of its Subsidiaries is a party or of which any property or assets of the Company or any of its Subsidiaries is the subject that, if determined adversely to the Company, would, in the aggregate, reasonably be expected to have a Material Adverse Effect or would, in the aggregate, reasonably be expected to have a material adverse effect on the performance of the Transaction Documents or the consummation of the transactions contemplated by the Transaction Documents; and to the Company’s knowledge, no such Proceedings are threatened or contemplated by governmental authorities or others.</w:t>
      </w:r>
    </w:p>
    <w:p>
      <w:pPr>
        <w:spacing w:after="0" w:line="183" w:lineRule="exact"/>
        <w:rPr>
          <w:rFonts w:ascii="Times New Roman" w:cs="Times New Roman" w:eastAsia="Times New Roman" w:hAnsi="Times New Roman"/>
          <w:sz w:val="18"/>
          <w:szCs w:val="18"/>
          <w:color w:val="auto"/>
        </w:rPr>
      </w:pPr>
    </w:p>
    <w:p>
      <w:pPr>
        <w:ind w:right="20" w:firstLine="987"/>
        <w:spacing w:after="0" w:line="282" w:lineRule="auto"/>
        <w:tabs>
          <w:tab w:leader="none" w:pos="120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Labor Dispute; Compliance with Labor Laws</w:t>
      </w:r>
      <w:r>
        <w:rPr>
          <w:rFonts w:ascii="Times New Roman" w:cs="Times New Roman" w:eastAsia="Times New Roman" w:hAnsi="Times New Roman"/>
          <w:sz w:val="18"/>
          <w:szCs w:val="18"/>
          <w:color w:val="auto"/>
        </w:rPr>
        <w:t>. No labor disturbance by or dispute with the employees of the Company or any of its Subsidiaries exists or, to the knowledge of the Company, is imminent that could reasonably be expected to have a Material Adverse Effect.</w:t>
      </w:r>
    </w:p>
    <w:p>
      <w:pPr>
        <w:spacing w:after="0" w:line="161" w:lineRule="exact"/>
        <w:rPr>
          <w:rFonts w:ascii="Times New Roman" w:cs="Times New Roman" w:eastAsia="Times New Roman" w:hAnsi="Times New Roman"/>
          <w:sz w:val="18"/>
          <w:szCs w:val="18"/>
          <w:color w:val="auto"/>
        </w:rPr>
      </w:pPr>
    </w:p>
    <w:p>
      <w:pPr>
        <w:jc w:val="both"/>
        <w:ind w:firstLine="987"/>
        <w:spacing w:after="0" w:line="254" w:lineRule="auto"/>
        <w:tabs>
          <w:tab w:leader="none" w:pos="129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Except as disclosed in the SEC Reports, neither the Company nor any of its Subsidiaries (i) is in violation of its certificate of incorporation or bylaws (or similar organizational documents), (ii) is in default, and no event has occurred that, with notice or lapse of time or both, would constitute such a default, in the due performance or observance of any term, covenant, condition or other obligation contained in any indenture, mortgage, deed of trust, loan agreement, license or other agreement or instrument to which it is a party, by which it is bound or to which any of its properties or assets is subject, (iii) is in violation of any statute or any order, rule or regulation of any court or governmental agency or body having jurisdiction over it or its property or assets or (iv) has failed to obtain any license, permit, certificate, franchise or other governmental authorization or permit necessary to the ownership of its property or to the conduct of its business, except in the case of clauses (ii) and (iii), to the extent any such conflict, breach, violation or default would not, individually or in the aggregate, reasonably be expected to have a Material Adverse Effect.</w:t>
      </w:r>
    </w:p>
    <w:p>
      <w:pPr>
        <w:spacing w:after="0" w:line="191" w:lineRule="exact"/>
        <w:rPr>
          <w:rFonts w:ascii="Times New Roman" w:cs="Times New Roman" w:eastAsia="Times New Roman" w:hAnsi="Times New Roman"/>
          <w:sz w:val="18"/>
          <w:szCs w:val="18"/>
          <w:color w:val="auto"/>
        </w:rPr>
      </w:pPr>
    </w:p>
    <w:p>
      <w:pPr>
        <w:jc w:val="both"/>
        <w:ind w:firstLine="987"/>
        <w:spacing w:after="0" w:line="253"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its Subsidiaries possess all material certificates, authorizations, clearances, approvals, registrations, exemptions, licenses or permits required by state, federal or foreign regulatory agencies or bodies to conduct their respective businesses as currently conducted and as described in the SEC Reports (“</w:t>
      </w:r>
      <w:r>
        <w:rPr>
          <w:rFonts w:ascii="Times New Roman" w:cs="Times New Roman" w:eastAsia="Times New Roman" w:hAnsi="Times New Roman"/>
          <w:sz w:val="18"/>
          <w:szCs w:val="18"/>
          <w:i w:val="1"/>
          <w:iCs w:val="1"/>
          <w:color w:val="auto"/>
        </w:rPr>
        <w:t>Permits</w:t>
      </w:r>
      <w:r>
        <w:rPr>
          <w:rFonts w:ascii="Times New Roman" w:cs="Times New Roman" w:eastAsia="Times New Roman" w:hAnsi="Times New Roman"/>
          <w:sz w:val="18"/>
          <w:szCs w:val="18"/>
          <w:color w:val="auto"/>
        </w:rPr>
        <w:t>”), and all such Permits are valid, current and in full force and effect, except where the failure to so possess or be valid, current and in full force and effect would not, individually or in the aggregate, reasonably be expected to result in a Material Adverse Effect. Neither the Company nor any of its Subsidiaries is in violation of, or in default under, any of the Permits or has received any notice of Proceedings relating to the revocation or modification of, or non-compliance with, any such certificate, authorization or permit. Neither the Company nor any of its Subsidiaries has received any notice of Proceedings relating to the revocation or modification of any Permits which, singly or in the aggregate, if the subject of an unfavorable decision, ruling or finding, would reasonably be expected to result in a Material Adverse Effect. The Company has not received any written notice denying, revoking or modifying any “approved enterprise,” “benefited enterprise” or “preferred enterprise” status with respect to any of the Company’s facilities or operations.</w:t>
      </w:r>
    </w:p>
    <w:p>
      <w:pPr>
        <w:spacing w:after="0" w:line="194"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or Lease</w:t>
      </w:r>
      <w:r>
        <w:rPr>
          <w:rFonts w:ascii="Times New Roman" w:cs="Times New Roman" w:eastAsia="Times New Roman" w:hAnsi="Times New Roman"/>
          <w:sz w:val="18"/>
          <w:szCs w:val="18"/>
          <w:color w:val="auto"/>
        </w:rPr>
        <w:t xml:space="preserve">. Each of the Company and each of its Subsidiaries owns or leases all such personal property (other than with respect to Intellectual Property Rights (as defined below) which is addressed exclusively in </w:t>
      </w:r>
      <w:r>
        <w:rPr>
          <w:rFonts w:ascii="Times New Roman" w:cs="Times New Roman" w:eastAsia="Times New Roman" w:hAnsi="Times New Roman"/>
          <w:sz w:val="18"/>
          <w:szCs w:val="18"/>
          <w:u w:val="single" w:color="auto"/>
          <w:color w:val="auto"/>
        </w:rPr>
        <w:t>Section 3.1(p)</w:t>
      </w:r>
      <w:r>
        <w:rPr>
          <w:rFonts w:ascii="Times New Roman" w:cs="Times New Roman" w:eastAsia="Times New Roman" w:hAnsi="Times New Roman"/>
          <w:sz w:val="18"/>
          <w:szCs w:val="18"/>
          <w:color w:val="auto"/>
        </w:rPr>
        <w:t xml:space="preserve"> as are necessary to the conduct of its operations as presently conducted, except as would not reasonably be expected to have a Material Adverse Effect.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70" w:right="439" w:bottom="1440" w:gutter="0" w:footer="0" w:header="0"/>
        </w:sectPr>
      </w:pPr>
    </w:p>
    <w:bookmarkStart w:id="15" w:name="page16"/>
    <w:bookmarkEnd w:id="15"/>
    <w:p>
      <w:pPr>
        <w:jc w:val="both"/>
        <w:ind w:left="4" w:firstLine="987"/>
        <w:spacing w:after="0" w:line="252" w:lineRule="auto"/>
        <w:tabs>
          <w:tab w:leader="none" w:pos="126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Intellectual Property</w:t>
      </w:r>
      <w:r>
        <w:rPr>
          <w:rFonts w:ascii="Times New Roman" w:cs="Times New Roman" w:eastAsia="Times New Roman" w:hAnsi="Times New Roman"/>
          <w:sz w:val="18"/>
          <w:szCs w:val="18"/>
          <w:color w:val="auto"/>
        </w:rPr>
        <w:t>. Except as disclosed in the SEC Reports, the Company and its Subsidiaries own, possess, license, have other rights to use or, to the knowledge of the Company, could acquire on reasonable terms, all patents, patent applications, trade and service marks, trade and service mark registrations, trade names, copyrights, licenses, inventions, trade secrets, technology, know-how and other intellectual property (collectively, the “</w:t>
      </w:r>
      <w:r>
        <w:rPr>
          <w:rFonts w:ascii="Times New Roman" w:cs="Times New Roman" w:eastAsia="Times New Roman" w:hAnsi="Times New Roman"/>
          <w:sz w:val="18"/>
          <w:szCs w:val="18"/>
          <w:i w:val="1"/>
          <w:iCs w:val="1"/>
          <w:u w:val="single" w:color="auto"/>
          <w:color w:val="auto"/>
        </w:rPr>
        <w:t>Intellectual Property</w:t>
      </w:r>
      <w:r>
        <w:rPr>
          <w:rFonts w:ascii="Times New Roman" w:cs="Times New Roman" w:eastAsia="Times New Roman" w:hAnsi="Times New Roman"/>
          <w:sz w:val="18"/>
          <w:szCs w:val="18"/>
          <w:color w:val="auto"/>
        </w:rPr>
        <w:t>”) necessary for the conduct of the Company’s business as now conducted or as proposed to be conducted in the SEC Reports, except where such failure to own, possess or acquire such Intellectual Property would not, individually or in the aggregate, reasonably be expected to have a Material Adverse Effect. The Intellectual Property owned by the Company and its Subsidiaries, and to the knowledge of the Company, the Intellectual Property licensed to the Company and its Subsidiaries, has not been adjudged invalid or unenforceable, in whole or in part. To the Company’s knowledge, except as disclosed in the SEC Reports, there are no unreleased liens or security interests that have been filed against the Intellectual Property owned by the Company and its Subsidiaries. To the Company’s knowledge, except as set forth in the SEC Reports, or as would not reasonably be expected to have a Material Adverse Effect, (a) there are no rights of third parties to any Intellectual Property owned by the Company;</w:t>
      </w:r>
    </w:p>
    <w:p>
      <w:pPr>
        <w:spacing w:after="0" w:line="5" w:lineRule="exact"/>
        <w:rPr>
          <w:rFonts w:ascii="Times New Roman" w:cs="Times New Roman" w:eastAsia="Times New Roman" w:hAnsi="Times New Roman"/>
          <w:sz w:val="18"/>
          <w:szCs w:val="18"/>
          <w:color w:val="auto"/>
        </w:rPr>
      </w:pPr>
    </w:p>
    <w:p>
      <w:pPr>
        <w:jc w:val="both"/>
        <w:ind w:left="4" w:hanging="4"/>
        <w:spacing w:after="0" w:line="266" w:lineRule="auto"/>
        <w:tabs>
          <w:tab w:leader="none" w:pos="267"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no material infringement by third parties of any issued United States patents owned or licensed by the Company; (c) there is no pending or threatened action, suit, Proceeding or claim by others in writing challenging the Company’s rights in or to any Intellectual Property owned by the Company; (d) there is no pending or threatened action, suit, Proceeding or claim by others in writing challenging the validity or scope of any Intellectual Property owned by the Company; (e) there is no pending or threatened action, suit, Proceeding or claim by others in writing that (i) the Company infringes, misappropriates, or otherwise violates any patent, trademark, copyright, trade secret or other proprietary rights of others or (ii) the Company would, upon the commercialization of any product or service set forth in the SEC Reports according to the Company’s current commercial plans, infringe, misappropriate, or otherwise violate any valid claim of an issued United States patent, or any trademark, copyright, or trade secret of others, and the Company is unaware of any facts which would form a reasonable basis for any such action, suit, Proceeding or claim which could reasonably be expected to result in a Material Adverse Effect; (f) the Company and its Subsidiaries have disclosed to the U.S. Patent and Trademark Office (“</w:t>
      </w:r>
      <w:r>
        <w:rPr>
          <w:rFonts w:ascii="Times New Roman" w:cs="Times New Roman" w:eastAsia="Times New Roman" w:hAnsi="Times New Roman"/>
          <w:sz w:val="17"/>
          <w:szCs w:val="17"/>
          <w:i w:val="1"/>
          <w:iCs w:val="1"/>
          <w:u w:val="single" w:color="auto"/>
          <w:color w:val="auto"/>
        </w:rPr>
        <w:t>USPTO</w:t>
      </w:r>
      <w:r>
        <w:rPr>
          <w:rFonts w:ascii="Times New Roman" w:cs="Times New Roman" w:eastAsia="Times New Roman" w:hAnsi="Times New Roman"/>
          <w:sz w:val="17"/>
          <w:szCs w:val="17"/>
          <w:color w:val="auto"/>
        </w:rPr>
        <w:t>”) all information relevant to the patentability of all issued United States patents and pending patent applications included in the Intellectual Property in accordance with 37 C.F.R. Section 1.56, and have not made any misrepresentation or concealed any information from the USPTO in any of the issued United States patents or pending patent applications included in the Intellectual Property, or in connection with the prosecution thereof, in violation of 37 C.F.R. Section 1.56; (g) except as set forth in the SEC Reports, the Company is not aware of any employee of the Company or any of its Subsidiaries being or having ever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or any of its Subsidiaries or actions undertaken by the employee while employed with the Company or any of its Subsidiaries. All licenses to which the Company is a party relating to the Intellectual Property are in full force and effect and the Company is not in violation of any term of such license except as would not, individually or in the aggregate, reasonably be expected to have a Material Adverse Effect. The product candidates described in the SEC Reports as under development by the Company or its Subsidiaries fall within the scope of the claims of one or more patents or patent applications owned by, or exclusively licensed to, the Company or its Subsidiaries.</w:t>
      </w:r>
    </w:p>
    <w:p>
      <w:pPr>
        <w:spacing w:after="0" w:line="200" w:lineRule="exact"/>
        <w:rPr>
          <w:rFonts w:ascii="Times New Roman" w:cs="Times New Roman" w:eastAsia="Times New Roman" w:hAnsi="Times New Roman"/>
          <w:sz w:val="17"/>
          <w:szCs w:val="17"/>
          <w:color w:val="auto"/>
        </w:rPr>
      </w:pPr>
    </w:p>
    <w:p>
      <w:pPr>
        <w:spacing w:after="0" w:line="201" w:lineRule="exact"/>
        <w:rPr>
          <w:rFonts w:ascii="Times New Roman" w:cs="Times New Roman" w:eastAsia="Times New Roman" w:hAnsi="Times New Roman"/>
          <w:sz w:val="17"/>
          <w:szCs w:val="17"/>
          <w:color w:val="auto"/>
        </w:rPr>
      </w:pPr>
    </w:p>
    <w:p>
      <w:pPr>
        <w:jc w:val="both"/>
        <w:ind w:left="4" w:firstLine="987"/>
        <w:spacing w:after="0" w:line="255" w:lineRule="auto"/>
        <w:tabs>
          <w:tab w:leader="none" w:pos="125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Except in each case as could not reasonably be expected to have a Material Adverse Effect, (i) the Company and each of its Subsidiaries are insured by insurers of recognized financial responsibility against such losses and risks and in such amounts as are, in the Company’s reasonable judgement, prudent and customary in the businesses in which they are engaged; (ii) all policies of insurance and fidelity or surety bonds insuring the Company or any of its Subsidiaries or their respective businesses, assets, employees, officers and directors are in full force and effect;</w:t>
      </w:r>
    </w:p>
    <w:p>
      <w:pPr>
        <w:spacing w:after="0" w:line="2" w:lineRule="exact"/>
        <w:rPr>
          <w:rFonts w:ascii="Times New Roman" w:cs="Times New Roman" w:eastAsia="Times New Roman" w:hAnsi="Times New Roman"/>
          <w:sz w:val="18"/>
          <w:szCs w:val="18"/>
          <w:color w:val="auto"/>
        </w:rPr>
      </w:pPr>
    </w:p>
    <w:p>
      <w:pPr>
        <w:jc w:val="both"/>
        <w:ind w:left="4" w:hanging="4"/>
        <w:spacing w:after="0" w:line="252" w:lineRule="auto"/>
        <w:tabs>
          <w:tab w:leader="none" w:pos="32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in compliance with the terms of such policies and instruments in all material respects; (iv) there are no claims by the Company or any of its Subsidiaries under any such policy or instrument as to which any insurance company is denying liability or defending under a reservation of rights clause; (v) neither the Company nor any such Subsidiary has been refused any insurance coverage sought or applied for; and (vi)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4"/>
          </w:cols>
          <w:pgMar w:left="436" w:top="270" w:right="439" w:bottom="1440" w:gutter="0" w:footer="0" w:header="0"/>
        </w:sectPr>
      </w:pPr>
    </w:p>
    <w:bookmarkStart w:id="16" w:name="page17"/>
    <w:bookmarkEnd w:id="16"/>
    <w:p>
      <w:pPr>
        <w:jc w:val="both"/>
        <w:ind w:firstLine="987"/>
        <w:spacing w:after="0" w:line="254" w:lineRule="auto"/>
        <w:tabs>
          <w:tab w:leader="none" w:pos="123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Internal Accounting Controls</w:t>
      </w:r>
      <w:r>
        <w:rPr>
          <w:rFonts w:ascii="Times New Roman" w:cs="Times New Roman" w:eastAsia="Times New Roman" w:hAnsi="Times New Roman"/>
          <w:sz w:val="18"/>
          <w:szCs w:val="18"/>
          <w:color w:val="auto"/>
        </w:rPr>
        <w:t>. The Company and each of its Subsidiaries maintain internal accounting controls designed to provide reasonable assurances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 (ii) transactions are recorded as necessary to permit preparation of the Company’s financial statements in conformity with GAAP and to maintain accountability for its assets, (iii) access to the Company’s assets is permitted only in accordance with management’s general or specific authorization, and (iv) the recorded accountability for the Company’s assets is compared with existing assets at reasonable intervals and appropriate action is taken with respect to any differences. Except as disclosed in the SEC Reports, as of the date of the most recent balance sheet of the Company and its consolidated subsidiaries, there were no material weaknesses in the Company’s internal controls.</w:t>
      </w:r>
    </w:p>
    <w:p>
      <w:pPr>
        <w:spacing w:after="0" w:line="188"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5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Compliance</w:t>
      </w:r>
      <w:r>
        <w:rPr>
          <w:rFonts w:ascii="Times New Roman" w:cs="Times New Roman" w:eastAsia="Times New Roman" w:hAnsi="Times New Roman"/>
          <w:sz w:val="18"/>
          <w:szCs w:val="18"/>
          <w:color w:val="auto"/>
        </w:rPr>
        <w:t>. The Company has taken all reasonably necessary actions to maintain compliance with all applicable provisions of the Sarbanes-Oxley Act of 2002 and all rules and regulations promulgated thereunder or implementing the provisions thereof (the “</w:t>
      </w:r>
      <w:r>
        <w:rPr>
          <w:rFonts w:ascii="Times New Roman" w:cs="Times New Roman" w:eastAsia="Times New Roman" w:hAnsi="Times New Roman"/>
          <w:sz w:val="18"/>
          <w:szCs w:val="18"/>
          <w:i w:val="1"/>
          <w:iCs w:val="1"/>
          <w:u w:val="single" w:color="auto"/>
          <w:color w:val="auto"/>
        </w:rPr>
        <w:t>Sarbanes-Oxley Act</w:t>
      </w:r>
      <w:r>
        <w:rPr>
          <w:rFonts w:ascii="Times New Roman" w:cs="Times New Roman" w:eastAsia="Times New Roman" w:hAnsi="Times New Roman"/>
          <w:sz w:val="18"/>
          <w:szCs w:val="18"/>
          <w:color w:val="auto"/>
        </w:rPr>
        <w:t>”) that are in effect and with which the Company is required to comply.</w:t>
      </w:r>
    </w:p>
    <w:p>
      <w:pPr>
        <w:spacing w:after="0" w:line="175"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Brokers</w:t>
      </w:r>
      <w:r>
        <w:rPr>
          <w:rFonts w:ascii="Times New Roman" w:cs="Times New Roman" w:eastAsia="Times New Roman" w:hAnsi="Times New Roman"/>
          <w:sz w:val="18"/>
          <w:szCs w:val="18"/>
          <w:color w:val="auto"/>
        </w:rPr>
        <w:t>. Neither the Company nor any of its Subsidiaries is a party to any contract, agreement or understanding with any person that would give rise to a valid claim against any of them for a brokerage commission, finder’s fee or like payment in connection with the offering and sale of the Securities.</w:t>
      </w:r>
    </w:p>
    <w:p>
      <w:pPr>
        <w:spacing w:after="0" w:line="175" w:lineRule="exact"/>
        <w:rPr>
          <w:rFonts w:ascii="Times New Roman" w:cs="Times New Roman" w:eastAsia="Times New Roman" w:hAnsi="Times New Roman"/>
          <w:sz w:val="18"/>
          <w:szCs w:val="18"/>
          <w:color w:val="auto"/>
        </w:rPr>
      </w:pPr>
    </w:p>
    <w:p>
      <w:pPr>
        <w:jc w:val="both"/>
        <w:ind w:right="20" w:firstLine="987"/>
        <w:spacing w:after="0" w:line="258" w:lineRule="auto"/>
        <w:tabs>
          <w:tab w:leader="none" w:pos="124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xml:space="preserve">. Assuming the accuracy of the Purchasers’ representations and warranties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of this Agreement and the accuracy of the information disclosed in the Accredited Investor Questionnaires provided by the Purchasers, no registration under the Securities Act is required for the offer and sale of the Securities by the Company to the Purchasers under the Transaction Documents. Assuming the making and the obtaining of the Required Approvals, the issuance and sale of the Securities hereunder does not contravene the rules and regulations of the Trading Market.</w:t>
      </w:r>
    </w:p>
    <w:p>
      <w:pPr>
        <w:spacing w:after="0" w:line="183"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4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xml:space="preserve"> The Company is not, and will not be, after giving effect to the offer and sale of the Securities and the application of the proceeds therefrom as described in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required to register as an “investment company” (within the meaning of the Investment Company Act of 1940, as amended (the “</w:t>
      </w: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Except as disclosed in the SEC Reports or pursuant to this Agreement, there are no contracts, agreements or understandings between the Company and any person granting such person the right to require the Company to file a registration statement under the Securities Act with respect to any securities of the Company owned or to be owned by such person.</w:t>
      </w:r>
    </w:p>
    <w:p>
      <w:pPr>
        <w:spacing w:after="0" w:line="175" w:lineRule="exact"/>
        <w:rPr>
          <w:rFonts w:ascii="Times New Roman" w:cs="Times New Roman" w:eastAsia="Times New Roman" w:hAnsi="Times New Roman"/>
          <w:sz w:val="18"/>
          <w:szCs w:val="18"/>
          <w:color w:val="auto"/>
        </w:rPr>
      </w:pPr>
    </w:p>
    <w:p>
      <w:pPr>
        <w:jc w:val="both"/>
        <w:ind w:firstLine="987"/>
        <w:spacing w:after="0" w:line="258" w:lineRule="auto"/>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Act Registration and Listing of the Common Stock</w:t>
      </w:r>
      <w:r>
        <w:rPr>
          <w:rFonts w:ascii="Times New Roman" w:cs="Times New Roman" w:eastAsia="Times New Roman" w:hAnsi="Times New Roman"/>
          <w:sz w:val="18"/>
          <w:szCs w:val="18"/>
          <w:color w:val="auto"/>
        </w:rPr>
        <w:t>. The Company’s shares of Common Stock are registered pursuant to Section 12(b) of the Exchange Act and listed on the Principal Trading Market; the Company has taken no action designed to, or reasonably likely to have the effect of, terminating the registration of the shares of Common Stock under the Exchange Act or delisting the shares of Common Stock from the Principal Trading Market, nor has the Company received any notification that the Commission or FINRA is contemplating terminating such registration or listing.</w:t>
      </w:r>
    </w:p>
    <w:p>
      <w:pPr>
        <w:spacing w:after="0" w:line="183" w:lineRule="exact"/>
        <w:rPr>
          <w:rFonts w:ascii="Times New Roman" w:cs="Times New Roman" w:eastAsia="Times New Roman" w:hAnsi="Times New Roman"/>
          <w:sz w:val="18"/>
          <w:szCs w:val="18"/>
          <w:color w:val="auto"/>
        </w:rPr>
      </w:pPr>
    </w:p>
    <w:p>
      <w:pPr>
        <w:jc w:val="both"/>
        <w:ind w:firstLine="987"/>
        <w:spacing w:after="0" w:line="255" w:lineRule="auto"/>
        <w:tabs>
          <w:tab w:leader="none" w:pos="124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xml:space="preserve">. The Company confirms that it has not provided, and to the knowledge of the Company, none of its officers or directors nor any other Person acting on its or their behalf has provided, any Purchaser or its respective agents or counsel with any information that it believes constitutes material, non-public information regarding the Company or its Subsidiaries except (i) insofar as the existence, provisions and terms of the Transaction Documents and the proposed transactions hereunder may constitute such information, all of which will be disclosed by the Company in the Press Release as contemplated by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hereof or (ii) to such Purchaser, prior to such disclosure, that has executed a written agreement regarding the confidentiality and use of such information. The Company understands and confirms that the Purchasers will rely on the foregoing representations in effecting transactions in securities of the Company.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17" w:name="page18"/>
    <w:bookmarkEnd w:id="17"/>
    <w:p>
      <w:pPr>
        <w:jc w:val="both"/>
        <w:ind w:right="20" w:firstLine="987"/>
        <w:spacing w:after="0" w:line="273" w:lineRule="auto"/>
        <w:tabs>
          <w:tab w:leader="none" w:pos="12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Integrated Offering</w:t>
      </w:r>
      <w:r>
        <w:rPr>
          <w:rFonts w:ascii="Times New Roman" w:cs="Times New Roman" w:eastAsia="Times New Roman" w:hAnsi="Times New Roman"/>
          <w:sz w:val="17"/>
          <w:szCs w:val="17"/>
          <w:color w:val="auto"/>
        </w:rPr>
        <w:t xml:space="preserve">. Assuming the accuracy of the Purchasers’ representations and warranties set forth in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none of the Company, its Subsidiaries nor, to the knowledge of the Company, any of its Affiliates or any Person acting on its behalf has, directly or indirectly, at any time within the past six (6) months, made any offers or sales of any Company security or solicited any offers to buy any security under circumstances that would (i) eliminate the availability of the exemption from registration under Regulation D under the Securities Act in connection with the offer and sale by the Company of the Securities as contemplated hereby or (ii) cause the offering of the Securities pursuant to the Transaction Documents to be integrated with prior offerings by the Company for purposes of any applicable law, regulation or stockholder approval provisions, including, without limitation, under the rules and regulations of any Trading Market on which any of the securities of the Company are listed or designated.</w:t>
      </w:r>
    </w:p>
    <w:p>
      <w:pPr>
        <w:spacing w:after="0" w:line="171" w:lineRule="exact"/>
        <w:rPr>
          <w:sz w:val="20"/>
          <w:szCs w:val="20"/>
          <w:color w:val="auto"/>
        </w:rPr>
      </w:pPr>
    </w:p>
    <w:p>
      <w:pPr>
        <w:jc w:val="both"/>
        <w:ind w:firstLine="987"/>
        <w:spacing w:after="0" w:line="258" w:lineRule="auto"/>
        <w:tabs>
          <w:tab w:leader="none" w:pos="131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 The Company and each of its Subsidiaries have filed all federal, state, local and foreign tax returns required to be filed through the date hereof, subject to permitted extensions (except where the failure to file would not individually or in the aggregate, reasonably be expected to have a Material Adverse Effect), and have paid all taxes required to be paid by it and any other assessment, fine or penalty levied against it to the extent due and payable (except for any such assessment, fine or penalty that is currently being contested in good faith or as would not individually or in the aggregate, reasonably be expected to have a Material Adverse Effect).</w:t>
      </w:r>
    </w:p>
    <w:p>
      <w:pPr>
        <w:spacing w:after="0" w:line="183" w:lineRule="exact"/>
        <w:rPr>
          <w:rFonts w:ascii="Times New Roman" w:cs="Times New Roman" w:eastAsia="Times New Roman" w:hAnsi="Times New Roman"/>
          <w:sz w:val="18"/>
          <w:szCs w:val="18"/>
          <w:color w:val="auto"/>
        </w:rPr>
      </w:pPr>
    </w:p>
    <w:p>
      <w:pPr>
        <w:jc w:val="both"/>
        <w:ind w:firstLine="987"/>
        <w:spacing w:after="0" w:line="255" w:lineRule="auto"/>
        <w:tabs>
          <w:tab w:leader="none" w:pos="13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as disclosed in the SEC Reports, the Company and each of its Subsidiaries (i) are in compliance with any and all applicable foreign, federal, state, provincial and local laws and regulations relating to the protection of human health and safety, the environment or hazardous or toxic substances or wastes, pollutants or contaminants (collectively, “</w:t>
      </w:r>
      <w:r>
        <w:rPr>
          <w:rFonts w:ascii="Times New Roman" w:cs="Times New Roman" w:eastAsia="Times New Roman" w:hAnsi="Times New Roman"/>
          <w:sz w:val="18"/>
          <w:szCs w:val="18"/>
          <w:i w:val="1"/>
          <w:iCs w:val="1"/>
          <w:color w:val="auto"/>
        </w:rPr>
        <w:t>Environmental Laws</w:t>
      </w:r>
      <w:r>
        <w:rPr>
          <w:rFonts w:ascii="Times New Roman" w:cs="Times New Roman" w:eastAsia="Times New Roman" w:hAnsi="Times New Roman"/>
          <w:sz w:val="18"/>
          <w:szCs w:val="18"/>
          <w:color w:val="auto"/>
        </w:rPr>
        <w:t>”), and (ii) have not received written notice of any actual or potential liability under any Environmental Law, except in the case of clause (i) or (ii) where such non-compliance, violation, liability or other obligation would not, individually or in the aggregate, reasonably be expected to have a Material Adverse Effect. Neither the Company nor any of the Subsidiaries has been named as a “potentially responsible party” under the Comprehensive Environmental Response, Compensation, and Liability Act of 1980, as amended.</w:t>
      </w:r>
    </w:p>
    <w:p>
      <w:pPr>
        <w:spacing w:after="0" w:line="188" w:lineRule="exact"/>
        <w:rPr>
          <w:rFonts w:ascii="Times New Roman" w:cs="Times New Roman" w:eastAsia="Times New Roman" w:hAnsi="Times New Roman"/>
          <w:sz w:val="18"/>
          <w:szCs w:val="18"/>
          <w:color w:val="auto"/>
        </w:rPr>
      </w:pPr>
    </w:p>
    <w:p>
      <w:pPr>
        <w:ind w:left="1320" w:hanging="333"/>
        <w:spacing w:after="0"/>
        <w:tabs>
          <w:tab w:leader="none" w:pos="1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The Company has not offered or sold any of the Securities by any form of general solicitation or general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w:t>
      </w:r>
    </w:p>
    <w:p>
      <w:pPr>
        <w:spacing w:after="0" w:line="206" w:lineRule="exact"/>
        <w:rPr>
          <w:rFonts w:ascii="Times New Roman" w:cs="Times New Roman" w:eastAsia="Times New Roman" w:hAnsi="Times New Roman"/>
          <w:sz w:val="18"/>
          <w:szCs w:val="18"/>
          <w:color w:val="auto"/>
        </w:rPr>
      </w:pPr>
    </w:p>
    <w:p>
      <w:pPr>
        <w:jc w:val="both"/>
        <w:ind w:firstLine="987"/>
        <w:spacing w:after="0" w:line="254" w:lineRule="auto"/>
        <w:tabs>
          <w:tab w:leader="none" w:pos="13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 Act</w:t>
      </w:r>
      <w:r>
        <w:rPr>
          <w:rFonts w:ascii="Times New Roman" w:cs="Times New Roman" w:eastAsia="Times New Roman" w:hAnsi="Times New Roman"/>
          <w:sz w:val="18"/>
          <w:szCs w:val="18"/>
          <w:color w:val="auto"/>
        </w:rPr>
        <w:t xml:space="preserve">. Neither the Company nor any of its Subsidiaries nor, to the knowledge of the Company, any director, officer, agent, employee, affiliate or other person acting on behalf of the Company or any of its Subsidiaries is aware of or has taken any action, directly or indirectly, that could result in a violation or a sanction for violation by such persons of the Foreign Corrupt Practices Act of 1977, the </w:t>
      </w:r>
      <w:r>
        <w:rPr>
          <w:rFonts w:ascii="Times New Roman" w:cs="Times New Roman" w:eastAsia="Times New Roman" w:hAnsi="Times New Roman"/>
          <w:sz w:val="18"/>
          <w:szCs w:val="18"/>
          <w:i w:val="1"/>
          <w:iCs w:val="1"/>
          <w:color w:val="auto"/>
        </w:rPr>
        <w:t>Corruption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Foreign Public Officials Act </w:t>
      </w:r>
      <w:r>
        <w:rPr>
          <w:rFonts w:ascii="Times New Roman" w:cs="Times New Roman" w:eastAsia="Times New Roman" w:hAnsi="Times New Roman"/>
          <w:sz w:val="18"/>
          <w:szCs w:val="18"/>
          <w:color w:val="auto"/>
        </w:rPr>
        <w:t>(Canada) or the U.K. Bribery Act 2010, each as may be amended, or similar law of any other relevant jurisdiction,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rules or regulations thereunder; and the Company and its Subsidiaries have instituted and maintain policies and procedures to comply therewith. No part of the proceeds of the offering will be used, directly or indirectly, in violation of the Foreign Corrupt Practices Act of 1977, the Corruption of Foreign Public Officials Act (Canada) or the U.K. Bribery Act 2010, each as may be amended, or similar law of any other relevant jurisdiction, or the rules or regulations thereunder.</w:t>
      </w:r>
    </w:p>
    <w:p>
      <w:pPr>
        <w:spacing w:after="0" w:line="191" w:lineRule="exact"/>
        <w:rPr>
          <w:rFonts w:ascii="Times New Roman" w:cs="Times New Roman" w:eastAsia="Times New Roman" w:hAnsi="Times New Roman"/>
          <w:sz w:val="18"/>
          <w:szCs w:val="18"/>
          <w:color w:val="auto"/>
        </w:rPr>
      </w:pPr>
    </w:p>
    <w:p>
      <w:pPr>
        <w:jc w:val="both"/>
        <w:ind w:firstLine="987"/>
        <w:spacing w:after="0" w:line="254" w:lineRule="auto"/>
        <w:tabs>
          <w:tab w:leader="none" w:pos="131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Purchase of Securities</w:t>
      </w:r>
      <w:r>
        <w:rPr>
          <w:rFonts w:ascii="Times New Roman" w:cs="Times New Roman" w:eastAsia="Times New Roman" w:hAnsi="Times New Roman"/>
          <w:sz w:val="18"/>
          <w:szCs w:val="18"/>
          <w:color w:val="auto"/>
        </w:rPr>
        <w:t>. The Company acknowledges and agrees that each of the Purchasers is acting solely in the capacity of an arm’s length purchaser with respect to the Transaction Documents and the transactions contemplated hereby and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70" w:right="439" w:bottom="1440" w:gutter="0" w:footer="0" w:header="0"/>
        </w:sectPr>
      </w:pPr>
    </w:p>
    <w:bookmarkStart w:id="18" w:name="page19"/>
    <w:bookmarkEnd w:id="18"/>
    <w:p>
      <w:pPr>
        <w:jc w:val="both"/>
        <w:ind w:right="20" w:firstLine="987"/>
        <w:spacing w:after="0" w:line="266" w:lineRule="auto"/>
        <w:tabs>
          <w:tab w:leader="none" w:pos="127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Regulation M Compliance</w:t>
      </w:r>
      <w:r>
        <w:rPr>
          <w:rFonts w:ascii="Times New Roman" w:cs="Times New Roman" w:eastAsia="Times New Roman" w:hAnsi="Times New Roman"/>
          <w:sz w:val="18"/>
          <w:szCs w:val="18"/>
          <w:color w:val="auto"/>
        </w:rPr>
        <w:t>. The Company and its Controlled affiliates have not taken, directly or indirectly, any action designed to or that has constituted or that could reasonably be expected to cause or result in the stabilization or manipulation of the price of any security of the Company in connection with the offering of the Securities.</w:t>
      </w:r>
    </w:p>
    <w:p>
      <w:pPr>
        <w:spacing w:after="0" w:line="175" w:lineRule="exact"/>
        <w:rPr>
          <w:rFonts w:ascii="Times New Roman" w:cs="Times New Roman" w:eastAsia="Times New Roman" w:hAnsi="Times New Roman"/>
          <w:sz w:val="18"/>
          <w:szCs w:val="18"/>
          <w:color w:val="auto"/>
        </w:rPr>
      </w:pPr>
    </w:p>
    <w:p>
      <w:pPr>
        <w:jc w:val="both"/>
        <w:ind w:firstLine="987"/>
        <w:spacing w:after="0" w:line="252" w:lineRule="auto"/>
        <w:tabs>
          <w:tab w:leader="none" w:pos="13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Neither the Company nor any of its Subsidiaries nor, to the knowledge of the Company, any director, officer, agent, employee or affiliate of the Company or any of its Subsidiaries (i) is, or is Controlled or 50% or more owned in the aggregate by or is acting on behalf of, one or more individuals or entities that are currently the subject of any sanctions administered or enforced by Canada or the United States (including any administered or enforced by the Office of Foreign Assets Control of the U.S. Department of the Treasury, the U.S. Department of State or the Bureau of Industry and Security of the U.S. Department of Commerce), the United Nations Security Council, the European Union, a member state of the European Union (including sanctions administered or enforced by His Majesty’s Treasury of the United Kingdom) or other relevant sanctions authority (collectively, “</w:t>
      </w:r>
      <w:r>
        <w:rPr>
          <w:rFonts w:ascii="Times New Roman" w:cs="Times New Roman" w:eastAsia="Times New Roman" w:hAnsi="Times New Roman"/>
          <w:sz w:val="18"/>
          <w:szCs w:val="18"/>
          <w:i w:val="1"/>
          <w:iCs w:val="1"/>
          <w:color w:val="auto"/>
        </w:rPr>
        <w:t>Sanctions</w:t>
      </w:r>
      <w:r>
        <w:rPr>
          <w:rFonts w:ascii="Times New Roman" w:cs="Times New Roman" w:eastAsia="Times New Roman" w:hAnsi="Times New Roman"/>
          <w:sz w:val="18"/>
          <w:szCs w:val="18"/>
          <w:color w:val="auto"/>
        </w:rPr>
        <w:t>” and such persons, “</w:t>
      </w:r>
      <w:r>
        <w:rPr>
          <w:rFonts w:ascii="Times New Roman" w:cs="Times New Roman" w:eastAsia="Times New Roman" w:hAnsi="Times New Roman"/>
          <w:sz w:val="18"/>
          <w:szCs w:val="18"/>
          <w:i w:val="1"/>
          <w:iCs w:val="1"/>
          <w:color w:val="auto"/>
        </w:rPr>
        <w:t>Sanctioned Persons</w:t>
      </w:r>
      <w:r>
        <w:rPr>
          <w:rFonts w:ascii="Times New Roman" w:cs="Times New Roman" w:eastAsia="Times New Roman" w:hAnsi="Times New Roman"/>
          <w:sz w:val="18"/>
          <w:szCs w:val="18"/>
          <w:color w:val="auto"/>
        </w:rPr>
        <w:t>” and each such person, a “</w:t>
      </w:r>
      <w:r>
        <w:rPr>
          <w:rFonts w:ascii="Times New Roman" w:cs="Times New Roman" w:eastAsia="Times New Roman" w:hAnsi="Times New Roman"/>
          <w:sz w:val="18"/>
          <w:szCs w:val="18"/>
          <w:i w:val="1"/>
          <w:iCs w:val="1"/>
          <w:color w:val="auto"/>
        </w:rPr>
        <w:t>Sanctioned Person</w:t>
      </w:r>
      <w:r>
        <w:rPr>
          <w:rFonts w:ascii="Times New Roman" w:cs="Times New Roman" w:eastAsia="Times New Roman" w:hAnsi="Times New Roman"/>
          <w:sz w:val="18"/>
          <w:szCs w:val="18"/>
          <w:color w:val="auto"/>
        </w:rPr>
        <w:t>”), (ii) is located, organized or resident in a country or territory that is, or whose government is, the subject of Sanctions that broadly prohibit dealings with that country or territory (collectively, “</w:t>
      </w:r>
      <w:r>
        <w:rPr>
          <w:rFonts w:ascii="Times New Roman" w:cs="Times New Roman" w:eastAsia="Times New Roman" w:hAnsi="Times New Roman"/>
          <w:sz w:val="18"/>
          <w:szCs w:val="18"/>
          <w:i w:val="1"/>
          <w:iCs w:val="1"/>
          <w:color w:val="auto"/>
        </w:rPr>
        <w:t>Sanctioned Countries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i w:val="1"/>
          <w:iCs w:val="1"/>
          <w:color w:val="auto"/>
        </w:rPr>
        <w:t>Sanctioned Country</w:t>
      </w:r>
      <w:r>
        <w:rPr>
          <w:rFonts w:ascii="Times New Roman" w:cs="Times New Roman" w:eastAsia="Times New Roman" w:hAnsi="Times New Roman"/>
          <w:sz w:val="18"/>
          <w:szCs w:val="18"/>
          <w:color w:val="auto"/>
        </w:rPr>
        <w:t>”) or (iii) will, directly or indirectly, use the proceeds of this offering, or lend, contribute or otherwise make available such proceeds to any Subsidiary, joint venture partner or other individual or entity in any manner that would result in a violation of any Sanctions by, or could result in the imposition of Sanctions against, any individual or entity (including any individual or entity participating in the offering, whether as underwriter, advisor, investor or otherwise). Neither the Company nor any of its Subsidiaries has engaged in any dealings or transactions with or for the benefit of a Sanctioned Person, or with or in a Sanctioned Country, in the preceding five years, nor does the Company or any of its Subsidiaries have any plans to engage in dealings or transactions with or for the benefit of a Sanctioned Person, or with or in a Sanctioned Country.</w:t>
      </w:r>
    </w:p>
    <w:p>
      <w:pPr>
        <w:spacing w:after="0" w:line="195" w:lineRule="exact"/>
        <w:rPr>
          <w:rFonts w:ascii="Times New Roman" w:cs="Times New Roman" w:eastAsia="Times New Roman" w:hAnsi="Times New Roman"/>
          <w:sz w:val="18"/>
          <w:szCs w:val="18"/>
          <w:color w:val="auto"/>
        </w:rPr>
      </w:pPr>
    </w:p>
    <w:p>
      <w:pPr>
        <w:jc w:val="both"/>
        <w:ind w:firstLine="987"/>
        <w:spacing w:after="0" w:line="253" w:lineRule="auto"/>
        <w:tabs>
          <w:tab w:leader="none" w:pos="136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Clinical Trials</w:t>
      </w:r>
      <w:r>
        <w:rPr>
          <w:rFonts w:ascii="Times New Roman" w:cs="Times New Roman" w:eastAsia="Times New Roman" w:hAnsi="Times New Roman"/>
          <w:sz w:val="18"/>
          <w:szCs w:val="18"/>
          <w:color w:val="auto"/>
        </w:rPr>
        <w:t>. The clinical and pre-clinical trials conducted by or on behalf of or sponsored by the Company, or in which the Company has participated, that are described in the SEC Reports or the results of which are referred to in the SEC Reports, were and, if still pending, are being conducted in accordance with standard medical and scientific research procedures and all applicable statutes, rules and regulations of the U.S. Food and Drug Administration and comparable drug regulatory agencies outside of the United States to which they are subject (collectively, the “</w:t>
      </w:r>
      <w:r>
        <w:rPr>
          <w:rFonts w:ascii="Times New Roman" w:cs="Times New Roman" w:eastAsia="Times New Roman" w:hAnsi="Times New Roman"/>
          <w:sz w:val="18"/>
          <w:szCs w:val="18"/>
          <w:i w:val="1"/>
          <w:iCs w:val="1"/>
          <w:color w:val="auto"/>
        </w:rPr>
        <w:t>Regulatory Authorities</w:t>
      </w:r>
      <w:r>
        <w:rPr>
          <w:rFonts w:ascii="Times New Roman" w:cs="Times New Roman" w:eastAsia="Times New Roman" w:hAnsi="Times New Roman"/>
          <w:sz w:val="18"/>
          <w:szCs w:val="18"/>
          <w:color w:val="auto"/>
        </w:rPr>
        <w:t>”), including, without limitation, 21 C.F.R. Parts 50, 54, 56, 58 and 312, and current Good Clinical Practices and Good Laboratory Practices; the descriptions in the SEC Reports of the results of such studies and trials are accurate and complete and fairly present the data derived from such trials; the Company has no knowledge of any other trials the results of which are inconsistent with or otherwise call into question the results described or referred to in the SEC Reports; the Company and its Subsidiaries have each operated and are currently in compliance with all applicable statutes, rules and regulations of the Regulatory Authorities, except where such noncompliance would not, individually or in the aggregate, have a Material Adverse Effect; and neither the Company, nor any of its Subsidiaries, has received any written notices, correspondence or other communication from the Regulatory Authorities or any governmental authority which threatens the termination or suspension of any clinical or pre-clinical trials that are described in the SEC Reports or the results of which are referred to in the SEC Reports, and there are no reasonable grounds for same.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70" w:right="439" w:bottom="1440" w:gutter="0" w:footer="0" w:header="0"/>
        </w:sectPr>
      </w:pPr>
    </w:p>
    <w:bookmarkStart w:id="19" w:name="page20"/>
    <w:bookmarkEnd w:id="19"/>
    <w:p>
      <w:pPr>
        <w:jc w:val="both"/>
        <w:ind w:right="20" w:firstLine="987"/>
        <w:spacing w:after="0" w:line="256" w:lineRule="auto"/>
        <w:tabs>
          <w:tab w:leader="none" w:pos="125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Anti-Money Laundering Compliance</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applicable related or similar rules, regulations or guidelines, issued, administered or enforced by any governmental agency (collectively, the “</w:t>
      </w:r>
      <w:r>
        <w:rPr>
          <w:rFonts w:ascii="Times New Roman" w:cs="Times New Roman" w:eastAsia="Times New Roman" w:hAnsi="Times New Roman"/>
          <w:sz w:val="18"/>
          <w:szCs w:val="18"/>
          <w:i w:val="1"/>
          <w:iCs w:val="1"/>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87" w:lineRule="exact"/>
        <w:rPr>
          <w:rFonts w:ascii="Times New Roman" w:cs="Times New Roman" w:eastAsia="Times New Roman" w:hAnsi="Times New Roman"/>
          <w:sz w:val="18"/>
          <w:szCs w:val="18"/>
          <w:color w:val="auto"/>
        </w:rPr>
      </w:pPr>
    </w:p>
    <w:p>
      <w:pPr>
        <w:jc w:val="both"/>
        <w:ind w:firstLine="987"/>
        <w:spacing w:after="0" w:line="253" w:lineRule="auto"/>
        <w:tabs>
          <w:tab w:leader="none" w:pos="127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On or prior to January 1, 2023, the Company and the Board of Directors took all necessary action, which action has not been rescinded or modified in any respect, to approve the transaction which resulted in the Purchasers becoming “interested stockholders,” such that the restrictions contained in Section 203 of the Delaware General Corporation Law (“</w:t>
      </w:r>
      <w:r>
        <w:rPr>
          <w:rFonts w:ascii="Times New Roman" w:cs="Times New Roman" w:eastAsia="Times New Roman" w:hAnsi="Times New Roman"/>
          <w:sz w:val="18"/>
          <w:szCs w:val="18"/>
          <w:i w:val="1"/>
          <w:iCs w:val="1"/>
          <w:color w:val="auto"/>
        </w:rPr>
        <w:t>Section 203</w:t>
      </w:r>
      <w:r>
        <w:rPr>
          <w:rFonts w:ascii="Times New Roman" w:cs="Times New Roman" w:eastAsia="Times New Roman" w:hAnsi="Times New Roman"/>
          <w:sz w:val="18"/>
          <w:szCs w:val="18"/>
          <w:color w:val="auto"/>
        </w:rPr>
        <w:t>”) on the Company engaging in any “business combination” with any “interested stockholder” are inapplicable to the Company engaging in any “business combination” with Purchasers and their “affiliates” and “associates” (as all such quoted terms are defined in Section 203), including, without limitation any shares of Common Stock purchased by the Purchasers from the Company since that date and the Company’s issuance of the Securities and the Purchasers’ ownership of the Securities. The Company and the Board of Directors have taken or will take prior to the Closing Date all further necessary action, if any, in order to render inapplicable any other control share acquisition or business combination statute, poison pill (including any distribution under a rights agreement) or other similar anti-takeover provision under the Certificate of Incorporation or the laws of the state of its incorporation which is or could become applicable to the Purchasers as a result of the transactions contemplated by this Agreement, including, without limitation, the Company’s issuance of the Securities and the Purchasers’ ownership of the Securities.</w:t>
      </w:r>
    </w:p>
    <w:p>
      <w:pPr>
        <w:spacing w:after="0" w:line="191" w:lineRule="exact"/>
        <w:rPr>
          <w:rFonts w:ascii="Times New Roman" w:cs="Times New Roman" w:eastAsia="Times New Roman" w:hAnsi="Times New Roman"/>
          <w:sz w:val="18"/>
          <w:szCs w:val="18"/>
          <w:color w:val="auto"/>
        </w:rPr>
      </w:pPr>
    </w:p>
    <w:p>
      <w:pPr>
        <w:jc w:val="both"/>
        <w:ind w:firstLine="987"/>
        <w:spacing w:after="0" w:line="251" w:lineRule="auto"/>
        <w:tabs>
          <w:tab w:leader="none" w:pos="133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Applicable Laws and Regulations</w:t>
      </w:r>
      <w:r>
        <w:rPr>
          <w:rFonts w:ascii="Times New Roman" w:cs="Times New Roman" w:eastAsia="Times New Roman" w:hAnsi="Times New Roman"/>
          <w:sz w:val="18"/>
          <w:szCs w:val="18"/>
          <w:color w:val="auto"/>
        </w:rPr>
        <w:t>. Except as disclosed in the SEC Reports, the Company and its Subsidiaries, to the extent applicable, (i) are and at all times have been in compliance with all statutes and regulations applicable to the ownership, research, testing, development, manufacture, packaging, processing, use, distribution, marketing, advertising, labeling, promotion, sale, offer for sale, storage, import, export or disposal of any product manufactured or distributed by the Company, including, without limitation, the Federal Food, Drug and Cosmetic Act (21 U.S.C. § 301 et seq.), the Public Health Service Act (42 U.S.C. § 201 et seq.), the federal Anti-Kickback Statute (42 U.S.C. § 1320a-7b(b)), the civil False Claims Act (31 U.S.C. § 3729 et seq.), the criminal false statements law (42 U.S.C. § 1320a-7b(a)), the civil monetary penalties law (42 U.S.C. § 1320a-7a), the exclusion law (42 U.S.C. § 1320a-7), all criminal laws relating to health care fraud and abuse, including without limitation 18 U.S.C. §§ 286, 287, 1035, 1347 and 1349, Title XVIII of the Social Security Act regarding the Medicare program (42 U.S.C. § 1395 et seq.) and Title XIX of the Social Security Act regarding the Medicaid program (42 U.S.C. § 1396 et seq.), the Health Insurance Portability and Accountability Act of 1996 (42 U.S.C §§ 1320d et seq.), as amended by the Health Information Technology for Economic and Clinical Health Act of 2009 (42 U.S.C §§ 17921 et seq.), and the Patient Protection and Affordable Care Act of 2010 (Public Law 111-148), as amended by the Health Care and Education Reconciliation Act of 2010 (Public Law 111-152), including without limitation, the Physician Payments Sunshine Act (codified as 42 U.S.C. § 1320a-7h), regulations relating to Good Clinical Practices and Good Laboratory Practices, the regulations promulgated pursuant to such laws and any comparable local, state, provincial, federal, national, supranational and foreign analog (collectively, the “</w:t>
      </w:r>
      <w:r>
        <w:rPr>
          <w:rFonts w:ascii="Times New Roman" w:cs="Times New Roman" w:eastAsia="Times New Roman" w:hAnsi="Times New Roman"/>
          <w:sz w:val="18"/>
          <w:szCs w:val="18"/>
          <w:i w:val="1"/>
          <w:iCs w:val="1"/>
          <w:color w:val="auto"/>
        </w:rPr>
        <w:t>Health Care Laws</w:t>
      </w:r>
      <w:r>
        <w:rPr>
          <w:rFonts w:ascii="Times New Roman" w:cs="Times New Roman" w:eastAsia="Times New Roman" w:hAnsi="Times New Roman"/>
          <w:sz w:val="18"/>
          <w:szCs w:val="18"/>
          <w:color w:val="auto"/>
        </w:rPr>
        <w:t>”), except as would not, individually or in the aggregate, reasonably be expected to have a Material Adverse Effect; (ii) have not received any written notice from any court or arbitrator or governmental or regulatory authority or third party asserting non-compliance with any licenses, exemptions, certificates, approvals, clearances, authorizations, permits, registrations and supplements or amendments thereto required by any such Health Care Laws (“</w:t>
      </w:r>
      <w:r>
        <w:rPr>
          <w:rFonts w:ascii="Times New Roman" w:cs="Times New Roman" w:eastAsia="Times New Roman" w:hAnsi="Times New Roman"/>
          <w:sz w:val="18"/>
          <w:szCs w:val="18"/>
          <w:i w:val="1"/>
          <w:iCs w:val="1"/>
          <w:color w:val="auto"/>
        </w:rPr>
        <w:t>Health Care Authorizations</w:t>
      </w:r>
      <w:r>
        <w:rPr>
          <w:rFonts w:ascii="Times New Roman" w:cs="Times New Roman" w:eastAsia="Times New Roman" w:hAnsi="Times New Roman"/>
          <w:sz w:val="18"/>
          <w:szCs w:val="18"/>
          <w:color w:val="auto"/>
        </w:rPr>
        <w:t>”), except for such non-compliance as would not, individually or in the aggregate, reasonably be expected to have a Material Adverse Effect; (iii) possess all material Health Care Authorizations and such Health Care Authorizations are valid and in full force and effect and are not in violation of any term of any such Health Care Authorizations, except in each case as would not, individually or in the aggregate, reasonably be expected to have a Material Adverse Effect; (iv) have not received written notice of any claim, action, suit, Proceeding, hearing, enforcement, investigation, arbitration or other action from any court or arbitrator or governmental or regulatory authority or third party alleging that any product operation of the Company or any of its Subsidiaries is in violation of any Health Care Laws or Health Care Authorizations nor, to the Company’s knowledge, is any such claim, action, suit, Proceeding, hearing, enforcement, investigation, arbitration or other action threatened, except as would not, individually or in the aggregate, reasonably be expected to have a Material Adverse Effect; (v) have filed, obtained, maintained or submitted all reports, documents, forms, notices, applications, records, claims, submissions and supplements or amendments as required by any Health Care Laws or Health Care Authorizations, except as would not, individually or in the aggregate, reasonably be expected to have a Material Adverse Effect, and that all such reports, documents, forms, notices, applications, records, claims, submissions and supplements or amendments were complete and accurate on the date filed (or were corrected or supplemented by a subsequent submission), except as would not, individually or in the aggregate, reasonably be expected to have a Material Adverse Effect; and (vi) are not a party to any corporate integrity agreements, monitoring agreements, consent decrees, settlement orders, or similar agreements with or imposed by any governmental or regulatory authority, except as would not, individually or in the aggregate, reasonably be expected to have a Material Adverse Effect. In addition, none of the Company or its Subsidiaries or any of their respective directors, officers, employees or agents is or, has been debarred, suspended or excluded, or has been convicted of any crime or, to the knowledge of the Company or its Subsidiaries, engaged in any conduct that would result in a debarment, suspension or exclusion from any federal or state government health care program or human clinical research, or to the knowledge of the Company or its Subsidiaries, is subject to any inquiry, investigation, Proceeding, or other similar action by a governmental authority that could reasonably be expected to result in any such debarment, suspension or exclusion.</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70" w:right="439" w:bottom="1440" w:gutter="0" w:footer="0" w:header="0"/>
        </w:sectPr>
      </w:pPr>
    </w:p>
    <w:bookmarkStart w:id="20" w:name="page21"/>
    <w:bookmarkEnd w:id="20"/>
    <w:p>
      <w:pPr>
        <w:jc w:val="both"/>
        <w:ind w:right="20" w:firstLine="987"/>
        <w:spacing w:after="0" w:line="261" w:lineRule="auto"/>
        <w:tabs>
          <w:tab w:leader="none" w:pos="128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order suspending the distribution of the Securities or any other securities of the Company has been issued by any Canadian Authority and no Proceedings for that purpose have been initiated or are pending or, to the knowledge of the Company, threatened or contemplated by any Canadian Authority, and any request made to the Company on the part of any Canadian Authority for additional information has been complied with.</w:t>
      </w:r>
    </w:p>
    <w:p>
      <w:pPr>
        <w:spacing w:after="0" w:line="179" w:lineRule="exact"/>
        <w:rPr>
          <w:rFonts w:ascii="Times New Roman" w:cs="Times New Roman" w:eastAsia="Times New Roman" w:hAnsi="Times New Roman"/>
          <w:sz w:val="18"/>
          <w:szCs w:val="18"/>
          <w:color w:val="auto"/>
        </w:rPr>
      </w:pPr>
    </w:p>
    <w:p>
      <w:pPr>
        <w:ind w:left="1440" w:hanging="453"/>
        <w:spacing w:after="0"/>
        <w:tabs>
          <w:tab w:leader="none" w:pos="1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“reporting issuer” in each of the Canadian Jurisdictions where such concept exists.</w:t>
      </w:r>
    </w:p>
    <w:p>
      <w:pPr>
        <w:spacing w:after="0" w:line="225" w:lineRule="exact"/>
        <w:rPr>
          <w:rFonts w:ascii="Times New Roman" w:cs="Times New Roman" w:eastAsia="Times New Roman" w:hAnsi="Times New Roman"/>
          <w:sz w:val="18"/>
          <w:szCs w:val="18"/>
          <w:color w:val="auto"/>
        </w:rPr>
      </w:pPr>
    </w:p>
    <w:p>
      <w:pPr>
        <w:jc w:val="both"/>
        <w:ind w:firstLine="987"/>
        <w:spacing w:after="0" w:line="261" w:lineRule="auto"/>
        <w:tabs>
          <w:tab w:leader="none" w:pos="135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KPMG LLP, which has audited, among other things, the Company’s consolidated financial statements as of and for the year ended December 31, 2022 included in the SEC Reports and delivered their report with respect thereto, are independent within the meaning of the relevant rules and related interpretations prescribed by the relevant professional bodies in Canada and any applicable legislation or regulations, and also that they are independent accountants with respect to the Company under all relevant US professional and regulatory standards.</w:t>
      </w:r>
    </w:p>
    <w:p>
      <w:pPr>
        <w:spacing w:after="0" w:line="179"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34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transfer taxes or other similar fees, or charges under U.S. or Canadian federal laws or the laws of any state or province, or any political subdivision thereof, required to be paid in connection with the execution and delivery of this Agreement or the Pre-Funded Warrants or the issuance by the Company or sale by the Company of the Securities.</w:t>
      </w:r>
    </w:p>
    <w:p>
      <w:pPr>
        <w:spacing w:after="0" w:line="175" w:lineRule="exact"/>
        <w:rPr>
          <w:rFonts w:ascii="Times New Roman" w:cs="Times New Roman" w:eastAsia="Times New Roman" w:hAnsi="Times New Roman"/>
          <w:sz w:val="18"/>
          <w:szCs w:val="18"/>
          <w:color w:val="auto"/>
        </w:rPr>
      </w:pPr>
    </w:p>
    <w:p>
      <w:pPr>
        <w:jc w:val="both"/>
        <w:ind w:right="20" w:firstLine="987"/>
        <w:spacing w:after="0" w:line="261" w:lineRule="auto"/>
        <w:tabs>
          <w:tab w:leader="none" w:pos="134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are no reports or information that in accordance with the requirements of the Canadian Securities Laws must be made publicly available in connection with the offering of the Securities that have not been made publicly available as required; except for filings that must be made pursuant to the timelines set out in BC Instrument 72-503 </w:t>
      </w:r>
      <w:r>
        <w:rPr>
          <w:rFonts w:ascii="Times New Roman" w:cs="Times New Roman" w:eastAsia="Times New Roman" w:hAnsi="Times New Roman"/>
          <w:sz w:val="18"/>
          <w:szCs w:val="18"/>
          <w:i w:val="1"/>
          <w:iCs w:val="1"/>
          <w:color w:val="auto"/>
        </w:rPr>
        <w:t>– Distribution of Securities Outside British Columbia</w:t>
      </w:r>
      <w:r>
        <w:rPr>
          <w:rFonts w:ascii="Times New Roman" w:cs="Times New Roman" w:eastAsia="Times New Roman" w:hAnsi="Times New Roman"/>
          <w:sz w:val="18"/>
          <w:szCs w:val="18"/>
          <w:color w:val="auto"/>
        </w:rPr>
        <w:t>, there are no documents required to be filed as of the date hereof with the Canadian Authorities in connection with the offering of the Securities that have not been filed, as required.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70" w:right="439" w:bottom="1440" w:gutter="0" w:footer="0" w:header="0"/>
        </w:sectPr>
      </w:pPr>
    </w:p>
    <w:bookmarkStart w:id="21" w:name="page22"/>
    <w:bookmarkEnd w:id="21"/>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3.2 </w:t>
      </w: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 Each Purchaser hereby, for itself and for no other Purchaser, represents and warrants as of the date hereof and as of the Closing Date to the Company as follows:</w:t>
      </w:r>
    </w:p>
    <w:p>
      <w:pPr>
        <w:spacing w:after="0" w:line="54" w:lineRule="exact"/>
        <w:rPr>
          <w:sz w:val="20"/>
          <w:szCs w:val="20"/>
          <w:color w:val="auto"/>
        </w:rPr>
      </w:pPr>
    </w:p>
    <w:p>
      <w:pPr>
        <w:jc w:val="both"/>
        <w:ind w:right="20" w:firstLine="987"/>
        <w:spacing w:after="0" w:line="253" w:lineRule="auto"/>
        <w:tabs>
          <w:tab w:leader="none" w:pos="126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an entity duly organized, validly existing and in good standing under the laws of the jurisdiction of its organization with the requisite corporate, limited liability company or partnership power and authority to enter into and to consummate the transactions contemplated by the applicable Transaction Documents and otherwise to carry out its obligations hereunder and thereunder. The execution and delivery of this Agreement by such Purchaser and performance by such Purchaser of the transactions contemplated by this Agreement have been duly authorized by all necessary corporate or, if such Purchaser is not a corporation, such partnership, limited liability company or other applicable like action,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as such enforceability may be limited by applicable bankruptcy, insolvency, reorganization, moratorium, liquidation or similar laws relating to, or affecting generally the enforcement of, creditors’ rights and remedies or by other equitable principles of general application.</w:t>
      </w:r>
    </w:p>
    <w:p>
      <w:pPr>
        <w:spacing w:after="0" w:line="194" w:lineRule="exact"/>
        <w:rPr>
          <w:rFonts w:ascii="Times New Roman" w:cs="Times New Roman" w:eastAsia="Times New Roman" w:hAnsi="Times New Roman"/>
          <w:sz w:val="18"/>
          <w:szCs w:val="18"/>
          <w:color w:val="auto"/>
        </w:rPr>
      </w:pPr>
    </w:p>
    <w:p>
      <w:pPr>
        <w:jc w:val="both"/>
        <w:ind w:firstLine="987"/>
        <w:spacing w:after="0" w:line="254" w:lineRule="auto"/>
        <w:tabs>
          <w:tab w:leader="none" w:pos="124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such Purchaser of this Agreement and the Registration Rights Agreement and the consummation by such Purchaser of the transactions contemplated hereby and thereby will not (i) result in a violation of the organizational documents of such Purchaser, (ii) conflict with, or constitute a default (or an event which with notice or lapse of time or both would become a default) under, or give to others any rights of termination, amendment, acceleration or cancellation of, any agreement, indenture or instrument to which such Purchaser is a party, or (iii) result in a violation of any law, rule, regulation, order, judgment or decree (including federal and state securities laws) applicable to such Purchaser, except in the case of clauses (ii) and (iii) above, for such conflicts, defaults, rights or violations which would not, individually or in the aggregate, reasonably be expected to have a material adverse effect on the ability of such Purchaser to perform its obligations hereunder.</w:t>
      </w:r>
    </w:p>
    <w:p>
      <w:pPr>
        <w:spacing w:after="0" w:line="191" w:lineRule="exact"/>
        <w:rPr>
          <w:rFonts w:ascii="Times New Roman" w:cs="Times New Roman" w:eastAsia="Times New Roman" w:hAnsi="Times New Roman"/>
          <w:sz w:val="18"/>
          <w:szCs w:val="18"/>
          <w:color w:val="auto"/>
        </w:rPr>
      </w:pPr>
    </w:p>
    <w:p>
      <w:pPr>
        <w:jc w:val="both"/>
        <w:ind w:firstLine="987"/>
        <w:spacing w:after="0" w:line="253" w:lineRule="auto"/>
        <w:tabs>
          <w:tab w:leader="none" w:pos="124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Intent</w:t>
      </w:r>
      <w:r>
        <w:rPr>
          <w:rFonts w:ascii="Times New Roman" w:cs="Times New Roman" w:eastAsia="Times New Roman" w:hAnsi="Times New Roman"/>
          <w:sz w:val="18"/>
          <w:szCs w:val="18"/>
          <w:color w:val="auto"/>
        </w:rPr>
        <w:t xml:space="preserve">. Such Purchaser understands that the Securities are “restricted securities” and have not been registered under the Securities Act or any applicable state securities law and is acquiring the Pre-Funded Warrants and, upon exercise of the Pre-Funded Warrants, will acquire the Pre-Funded Warrant Shares issuable upon exercise thereof, as principal for its own account and not with a view to, or for distributing or reselling such Securities or any part thereof in violation of the Securities Act or any applicable state securities laws,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by making the representations herein, such Purchaser does not agree to hold any of the Securities for any minimum period of time and reserves the right, subject to the provisions of this Agreement and the Registration Rights Agreement, at all times to sell or otherwise dispose of all or any part of such Securities pursuant to an effective registration statement under the Securities Act or under an exemption from such registration and in compliance with applicable federal and state securities laws. Such Purchaser is acquiring the Securities hereunder for itself for investment purposes only. Such Purchaser does not presently have any agreement, plan or understanding, directly or indirectly, with any Person to distribute or effect any distribution of any of the Securities (or any securities which are derivatives thereof) to or through any person or entity; such Purchaser is not a registered broker-dealer under Section 15 of the Exchange Act or an entity engaged in a business that would require it to be so registered as a broker-dealer.</w:t>
      </w:r>
    </w:p>
    <w:p>
      <w:pPr>
        <w:spacing w:after="0" w:line="191"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such Purchaser was offered the Pre-Funded Warrants, it was, and at the date hereof it is, and on each date on which it exercises the Pre-Funded Warrants it will be, an “accredited investor” as defined in Rule 501(a) under the Securities Act.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440" w:top="270" w:right="439" w:bottom="1440" w:gutter="0" w:footer="0" w:header="0"/>
        </w:sectPr>
      </w:pPr>
    </w:p>
    <w:bookmarkStart w:id="22" w:name="page23"/>
    <w:bookmarkEnd w:id="22"/>
    <w:p>
      <w:pPr>
        <w:jc w:val="both"/>
        <w:ind w:left="4" w:firstLine="987"/>
        <w:spacing w:after="0" w:line="266" w:lineRule="auto"/>
        <w:tabs>
          <w:tab w:leader="none" w:pos="12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 Solicitation</w:t>
      </w:r>
      <w:r>
        <w:rPr>
          <w:rFonts w:ascii="Times New Roman" w:cs="Times New Roman" w:eastAsia="Times New Roman" w:hAnsi="Times New Roman"/>
          <w:sz w:val="18"/>
          <w:szCs w:val="18"/>
          <w:color w:val="auto"/>
        </w:rPr>
        <w:t>. Such Purchaser is not purchasing the Securities as a result of any advertisement, article, notice or other communication regarding the Securities published in any newspaper, magazine or similar media or broadcast over television or radio or presented at any seminar or any other general advertisement.</w:t>
      </w:r>
    </w:p>
    <w:p>
      <w:pPr>
        <w:spacing w:after="0" w:line="175" w:lineRule="exact"/>
        <w:rPr>
          <w:rFonts w:ascii="Times New Roman" w:cs="Times New Roman" w:eastAsia="Times New Roman" w:hAnsi="Times New Roman"/>
          <w:sz w:val="18"/>
          <w:szCs w:val="18"/>
          <w:color w:val="auto"/>
        </w:rPr>
      </w:pPr>
    </w:p>
    <w:p>
      <w:pPr>
        <w:jc w:val="both"/>
        <w:ind w:left="4" w:right="20" w:firstLine="987"/>
        <w:spacing w:after="0" w:line="261" w:lineRule="auto"/>
        <w:tabs>
          <w:tab w:leader="none" w:pos="12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179"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of Risks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1428"/>
        <w:spacing w:after="0" w:line="255" w:lineRule="auto"/>
        <w:tabs>
          <w:tab w:leader="none" w:pos="1695"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 acknowledges and understands that its investment in the Securities involves a significant degree of risk, including, without limitation: (i) the Company remains a development stage business with limited operating history and requires substantial funds in addition to the proceeds from the sale of the Securities; (ii) an investment in the Company is speculative, and only Purchasers who can afford the loss of their entire investment should consider investing in the Company and the Securities; (iii) such Purchaser may not be able to liquidate its investment;</w:t>
      </w:r>
    </w:p>
    <w:p>
      <w:pPr>
        <w:spacing w:after="0" w:line="2" w:lineRule="exact"/>
        <w:rPr>
          <w:rFonts w:ascii="Times New Roman" w:cs="Times New Roman" w:eastAsia="Times New Roman" w:hAnsi="Times New Roman"/>
          <w:sz w:val="18"/>
          <w:szCs w:val="18"/>
          <w:color w:val="auto"/>
        </w:rPr>
      </w:pPr>
    </w:p>
    <w:p>
      <w:pPr>
        <w:jc w:val="both"/>
        <w:ind w:left="4" w:hanging="4"/>
        <w:spacing w:after="0" w:line="255" w:lineRule="auto"/>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transferability of the Securities is extremely limited; (v) in the event of a disposition of the Securities, such Purchaser could sustain the loss of its entire investment; and (vi) the Company has not paid any dividends on its shares of Common Stock since inception and does not anticipate the payment of dividends in the foreseeable future. Such risks are more fully set forth in the SEC Reports made by the Company with the Commission;</w:t>
      </w:r>
    </w:p>
    <w:p>
      <w:pPr>
        <w:spacing w:after="0" w:line="185" w:lineRule="exact"/>
        <w:rPr>
          <w:rFonts w:ascii="Times New Roman" w:cs="Times New Roman" w:eastAsia="Times New Roman" w:hAnsi="Times New Roman"/>
          <w:sz w:val="18"/>
          <w:szCs w:val="18"/>
          <w:color w:val="auto"/>
        </w:rPr>
      </w:pPr>
    </w:p>
    <w:p>
      <w:pPr>
        <w:ind w:left="4" w:firstLine="1428"/>
        <w:spacing w:after="0" w:line="282" w:lineRule="auto"/>
        <w:tabs>
          <w:tab w:leader="none" w:pos="1727"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 is able to bear the economic risk of holding the Securities for an indefinite period, and has knowledge and experience in financial and business matters such that it is capable of evaluating the risks of the investment in the Securities; and</w:t>
      </w:r>
    </w:p>
    <w:p>
      <w:pPr>
        <w:spacing w:after="0" w:line="161" w:lineRule="exact"/>
        <w:rPr>
          <w:rFonts w:ascii="Times New Roman" w:cs="Times New Roman" w:eastAsia="Times New Roman" w:hAnsi="Times New Roman"/>
          <w:sz w:val="18"/>
          <w:szCs w:val="18"/>
          <w:color w:val="auto"/>
        </w:rPr>
      </w:pPr>
    </w:p>
    <w:p>
      <w:pPr>
        <w:jc w:val="both"/>
        <w:ind w:left="4" w:right="20" w:firstLine="1428"/>
        <w:spacing w:after="0" w:line="261" w:lineRule="auto"/>
        <w:tabs>
          <w:tab w:leader="none" w:pos="1756"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 has, in connection with such Purchaser’s decision to purchase Securities, not relied upon any representations or other information (whether oral or written) other than as set forth in the representations and warranties of the Company contained herein, and such Purchaser has, with respect to all matters relating to the Transaction Documents and the offer and sale of the Securities, relied solely upon the advice of such Purchaser’s own counsel and has not relied upon or consulted any counsel to the Company.</w:t>
      </w:r>
    </w:p>
    <w:p>
      <w:pPr>
        <w:spacing w:after="0" w:line="179"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SEC Reports and has been afforded</w:t>
      </w:r>
    </w:p>
    <w:p>
      <w:pPr>
        <w:spacing w:after="0" w:line="27"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23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the Subsidiaries and their respective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Neither such inquiries nor any other investigation conducted by or on behalf of such Purchaser or its representatives or counsel shall modify, amend or affect such Purchaser’s right to rely on the truth, accuracy and completeness of the SEC Reports and the Company’s representations and warranties contained in the Transaction Documents. Such Purchaser has sought such accounting, legal and tax advice as it has considered necessary to make an informed decision with respect to its acquisition of the Securities.</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4"/>
          </w:cols>
          <w:pgMar w:left="436" w:top="270" w:right="439" w:bottom="1440" w:gutter="0" w:footer="0" w:header="0"/>
        </w:sectPr>
      </w:pPr>
    </w:p>
    <w:bookmarkStart w:id="23" w:name="page24"/>
    <w:bookmarkEnd w:id="23"/>
    <w:p>
      <w:pPr>
        <w:jc w:val="both"/>
        <w:ind w:right="20" w:firstLine="987"/>
        <w:spacing w:after="0" w:line="252" w:lineRule="auto"/>
        <w:tabs>
          <w:tab w:leader="none" w:pos="120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Trading Activities</w:t>
      </w:r>
      <w:r>
        <w:rPr>
          <w:rFonts w:ascii="Times New Roman" w:cs="Times New Roman" w:eastAsia="Times New Roman" w:hAnsi="Times New Roman"/>
          <w:sz w:val="18"/>
          <w:szCs w:val="18"/>
          <w:color w:val="auto"/>
        </w:rPr>
        <w:t>. Other than with respect to the transactions contemplated herein, since the time that such Purchaser was first contacted by the Company any other Person regarding the transactions contemplated hereby, neither the Purchaser nor any Affiliate of such Purchaser which (x) had knowledge of the transactions contemplated hereby, (y) has or shares discretion relating to such Purchaser’s investments or trading or information concerning such Purchaser’s investments, including in respect of the Securities, and (z) is subject to such Purchaser’s review or input concerning such Affiliate’s investments or trading (each a “</w:t>
      </w:r>
      <w:r>
        <w:rPr>
          <w:rFonts w:ascii="Times New Roman" w:cs="Times New Roman" w:eastAsia="Times New Roman" w:hAnsi="Times New Roman"/>
          <w:sz w:val="18"/>
          <w:szCs w:val="18"/>
          <w:i w:val="1"/>
          <w:iCs w:val="1"/>
          <w:color w:val="auto"/>
        </w:rPr>
        <w:t>Trading Affiliate</w:t>
      </w:r>
      <w:r>
        <w:rPr>
          <w:rFonts w:ascii="Times New Roman" w:cs="Times New Roman" w:eastAsia="Times New Roman" w:hAnsi="Times New Roman"/>
          <w:sz w:val="18"/>
          <w:szCs w:val="18"/>
          <w:color w:val="auto"/>
        </w:rPr>
        <w:t>”) has directly or indirectly, nor has any Person acting on behalf of or pursuant to any understanding with such Purchaser or Trading Affiliate, effected or agreed to effect any purchases or sales of the securities of the Company (including, without limitation, any Short Sales involving the Company’s securities). Notwithstanding the foregoing, in the case of a Purchaser and/or Trading Affiliate that is, individually or collectively, a multi-managed investment bank or vehicle whereby separate portfolio managers manage separate portions of such Purchaser’s or Trading Affiliate’s assets and the portfolio managers have no direct knowledge of the investment decisions made by the portfolio managers managing other portions of such Purchaser’s or Trading Affiliate’s assets, the representation set forth above shall apply only with respect to the portion of assets managed by the portfolio manager that have knowledge about the financing transaction contemplated by this Agreement. Other than to other Persons party to this Agreement, such Purchaser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spacing w:after="0" w:line="195"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0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Brokers and Finders</w:t>
      </w:r>
      <w:r>
        <w:rPr>
          <w:rFonts w:ascii="Times New Roman" w:cs="Times New Roman" w:eastAsia="Times New Roman" w:hAnsi="Times New Roman"/>
          <w:sz w:val="18"/>
          <w:szCs w:val="18"/>
          <w:color w:val="auto"/>
        </w:rPr>
        <w:t>. No Person will have, as a result of the transactions contemplated by this Agreement, any valid right, interest or claim against or upon the Company or any Purchaser for any commission, fee or other compensation pursuant to any agreement, arrangement or understanding entered into by or on behalf of the Purchaser.</w:t>
      </w:r>
    </w:p>
    <w:p>
      <w:pPr>
        <w:spacing w:after="0" w:line="175" w:lineRule="exact"/>
        <w:rPr>
          <w:rFonts w:ascii="Times New Roman" w:cs="Times New Roman" w:eastAsia="Times New Roman" w:hAnsi="Times New Roman"/>
          <w:sz w:val="18"/>
          <w:szCs w:val="18"/>
          <w:color w:val="auto"/>
        </w:rPr>
      </w:pPr>
    </w:p>
    <w:p>
      <w:pPr>
        <w:jc w:val="both"/>
        <w:ind w:firstLine="987"/>
        <w:spacing w:after="0" w:line="258" w:lineRule="auto"/>
        <w:tabs>
          <w:tab w:leader="none" w:pos="127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Investment Decision</w:t>
      </w:r>
      <w:r>
        <w:rPr>
          <w:rFonts w:ascii="Times New Roman" w:cs="Times New Roman" w:eastAsia="Times New Roman" w:hAnsi="Times New Roman"/>
          <w:sz w:val="18"/>
          <w:szCs w:val="18"/>
          <w:color w:val="auto"/>
        </w:rPr>
        <w:t>. Such Purchaser has independently evaluated the merits of its decision to purchase Securities pursuant to the Transaction Documents, and such Purchaser confirms that it has not relied on the advice of any other Purchaser’s business and/or legal counsel in making such decision. Such Purchaser understands that nothing in this Agreement or any other materials presented by or on behalf of the Company to the Purchaser in connection with the purchase of the Securities constitutes legal, tax or investment advice. Such Purchaser has consulted such legal, tax and investment advisors as it, in its sole discretion, has deemed necessary or appropriate in connection with its purchase of the Securities.</w:t>
      </w:r>
    </w:p>
    <w:p>
      <w:pPr>
        <w:spacing w:after="0" w:line="183" w:lineRule="exact"/>
        <w:rPr>
          <w:rFonts w:ascii="Times New Roman" w:cs="Times New Roman" w:eastAsia="Times New Roman" w:hAnsi="Times New Roman"/>
          <w:sz w:val="18"/>
          <w:szCs w:val="18"/>
          <w:color w:val="auto"/>
        </w:rPr>
      </w:pPr>
    </w:p>
    <w:p>
      <w:pPr>
        <w:jc w:val="both"/>
        <w:ind w:firstLine="987"/>
        <w:spacing w:after="0" w:line="261" w:lineRule="auto"/>
        <w:tabs>
          <w:tab w:leader="none" w:pos="120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on Exemptions</w:t>
      </w:r>
      <w:r>
        <w:rPr>
          <w:rFonts w:ascii="Times New Roman" w:cs="Times New Roman" w:eastAsia="Times New Roman" w:hAnsi="Times New Roman"/>
          <w:sz w:val="18"/>
          <w:szCs w:val="18"/>
          <w:color w:val="auto"/>
        </w:rPr>
        <w:t>. Such Purchaser understands that the Securities being offered and sold to it in reliance on specific exemptions from the registration requirements of United States federal and state securities laws and that the Company is relying in part upon the truth and accuracy of, and such Purchaser’s compliance with, the representations, warranties, agreements, acknowledgements and understandings of such Purchaser set forth herein in order to determine the availability of such exemptions and the eligibility of such Purchaser to acquire the Securities.</w:t>
      </w:r>
    </w:p>
    <w:p>
      <w:pPr>
        <w:spacing w:after="0" w:line="179" w:lineRule="exact"/>
        <w:rPr>
          <w:rFonts w:ascii="Times New Roman" w:cs="Times New Roman" w:eastAsia="Times New Roman" w:hAnsi="Times New Roman"/>
          <w:sz w:val="18"/>
          <w:szCs w:val="18"/>
          <w:color w:val="auto"/>
        </w:rPr>
      </w:pPr>
    </w:p>
    <w:p>
      <w:pPr>
        <w:jc w:val="both"/>
        <w:ind w:firstLine="987"/>
        <w:spacing w:after="0" w:line="266" w:lineRule="auto"/>
        <w:tabs>
          <w:tab w:leader="none" w:pos="130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Governmental Review</w:t>
      </w:r>
      <w:r>
        <w:rPr>
          <w:rFonts w:ascii="Times New Roman" w:cs="Times New Roman" w:eastAsia="Times New Roman" w:hAnsi="Times New Roman"/>
          <w:sz w:val="18"/>
          <w:szCs w:val="18"/>
          <w:color w:val="auto"/>
        </w:rPr>
        <w:t>. Such Purchaser understands that no United States federal or state agency or any other government or governmental agency has passed on or made any recommendation or endorsement of the Securities or the fairness or suitability of the investment in the Securities nor have such authorities passed upon or endorsed the merits of the offering of the Securities.</w:t>
      </w:r>
    </w:p>
    <w:p>
      <w:pPr>
        <w:spacing w:after="0" w:line="175" w:lineRule="exact"/>
        <w:rPr>
          <w:rFonts w:ascii="Times New Roman" w:cs="Times New Roman" w:eastAsia="Times New Roman" w:hAnsi="Times New Roman"/>
          <w:sz w:val="18"/>
          <w:szCs w:val="18"/>
          <w:color w:val="auto"/>
        </w:rPr>
      </w:pPr>
    </w:p>
    <w:p>
      <w:pPr>
        <w:ind w:right="20" w:firstLine="987"/>
        <w:spacing w:after="0" w:line="282" w:lineRule="auto"/>
        <w:tabs>
          <w:tab w:leader="none" w:pos="124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w:t>
      </w:r>
      <w:r>
        <w:rPr>
          <w:rFonts w:ascii="Times New Roman" w:cs="Times New Roman" w:eastAsia="Times New Roman" w:hAnsi="Times New Roman"/>
          <w:sz w:val="18"/>
          <w:szCs w:val="18"/>
          <w:color w:val="auto"/>
        </w:rPr>
        <w:t>. Such Purchaser is aware that the anti-manipulation rules of Regulation M under the Exchange Act may apply to sales of Common Stock and other activities with respect to the Common Stock by the Purchasers.</w:t>
      </w:r>
    </w:p>
    <w:p>
      <w:pPr>
        <w:spacing w:after="0" w:line="161" w:lineRule="exact"/>
        <w:rPr>
          <w:rFonts w:ascii="Times New Roman" w:cs="Times New Roman" w:eastAsia="Times New Roman" w:hAnsi="Times New Roman"/>
          <w:sz w:val="18"/>
          <w:szCs w:val="18"/>
          <w:color w:val="auto"/>
        </w:rPr>
      </w:pPr>
    </w:p>
    <w:p>
      <w:pPr>
        <w:jc w:val="both"/>
        <w:ind w:right="20" w:firstLine="987"/>
        <w:spacing w:after="0" w:line="253" w:lineRule="auto"/>
        <w:tabs>
          <w:tab w:leader="none" w:pos="124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The purchase by such Purchaser of the Pre-Funded Warrants issuable to it at the Closing will not (either with or without aggregating such Securities with the Pre-Funded Warrant Shares for which such Purchaser’s Pre-Funded Warrants are exercisable (subject to the limitations set forth in any provisions in the Pre-Funded Warrants that would limit the exercisability of the Pre-Funded Warrants)) result in such Purchaser (individually or together with any other Person with whom such Purchaser has identified, or will have identified, itself as part of a “group” in a public filing made with the Commission involving the Company’s securities) (when added to any other securities of the Company that it or they then own or have the right to acquire) acquiring, or obtaining the right to acquire, in excess of the Threshold Amount on a post transaction basis that assumes that such Closing shall have occurred. Such Purchaser does not presently intend to, alone or together with others, make a public filing with the Commission to disclose that it has (or that it together with such other Persons have) acquired, or obtained the right to acquire, as a result of such Closing (when added to any other securities of the Company that it or they then own or have the right to acquire), in excess of the Threshold Amount on a post transaction basis that assumes that each Closing shall have occurred.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70" w:right="439" w:bottom="1440" w:gutter="0" w:footer="0" w:header="0"/>
        </w:sectPr>
      </w:pPr>
    </w:p>
    <w:bookmarkStart w:id="24" w:name="page25"/>
    <w:bookmarkEnd w:id="24"/>
    <w:p>
      <w:pPr>
        <w:ind w:left="4" w:firstLine="987"/>
        <w:spacing w:after="0" w:line="282" w:lineRule="auto"/>
        <w:tabs>
          <w:tab w:leader="none" w:pos="125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Residency</w:t>
      </w:r>
      <w:r>
        <w:rPr>
          <w:rFonts w:ascii="Times New Roman" w:cs="Times New Roman" w:eastAsia="Times New Roman" w:hAnsi="Times New Roman"/>
          <w:sz w:val="18"/>
          <w:szCs w:val="18"/>
          <w:color w:val="auto"/>
        </w:rPr>
        <w:t>. Such Purchaser’s residence (if an individual) or offices in which its investment decision with respect to the Securities was made (if an entity) are located at the address immediately below such Purchaser’s name on its signature page hereto.</w:t>
      </w:r>
    </w:p>
    <w:p>
      <w:pPr>
        <w:spacing w:after="0" w:line="161" w:lineRule="exact"/>
        <w:rPr>
          <w:rFonts w:ascii="Times New Roman" w:cs="Times New Roman" w:eastAsia="Times New Roman" w:hAnsi="Times New Roman"/>
          <w:sz w:val="18"/>
          <w:szCs w:val="18"/>
          <w:color w:val="auto"/>
        </w:rPr>
      </w:pPr>
    </w:p>
    <w:p>
      <w:pPr>
        <w:jc w:val="both"/>
        <w:ind w:left="4" w:right="20" w:firstLine="987"/>
        <w:spacing w:after="0" w:line="266" w:lineRule="auto"/>
        <w:tabs>
          <w:tab w:leader="none" w:pos="126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 Resident in Canada</w:t>
      </w:r>
      <w:r>
        <w:rPr>
          <w:rFonts w:ascii="Times New Roman" w:cs="Times New Roman" w:eastAsia="Times New Roman" w:hAnsi="Times New Roman"/>
          <w:sz w:val="18"/>
          <w:szCs w:val="18"/>
          <w:color w:val="auto"/>
        </w:rPr>
        <w:t>. Such Purchaser is not a resident of Canada, has no present intention to become a resident of Canada. The purchase by and sale to such Purchaser of the Securities, and any act, solicitation, conduct or negotiation directly or indirectly in furtherance of such purchase or sale has occurred only in a jurisdiction outside Canada.</w:t>
      </w:r>
    </w:p>
    <w:p>
      <w:pPr>
        <w:spacing w:after="0" w:line="175" w:lineRule="exact"/>
        <w:rPr>
          <w:rFonts w:ascii="Times New Roman" w:cs="Times New Roman" w:eastAsia="Times New Roman" w:hAnsi="Times New Roman"/>
          <w:sz w:val="18"/>
          <w:szCs w:val="18"/>
          <w:color w:val="auto"/>
        </w:rPr>
      </w:pPr>
    </w:p>
    <w:p>
      <w:pPr>
        <w:jc w:val="both"/>
        <w:ind w:left="4" w:firstLine="987"/>
        <w:spacing w:after="0" w:line="252" w:lineRule="auto"/>
        <w:tabs>
          <w:tab w:leader="none" w:pos="12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Such Purchaser represents and warrants to, and covenants with, the Company that: (i) such Purchaser is in compliance with the regulations administered by the U.S. Department of the Treasury (“</w:t>
      </w:r>
      <w:r>
        <w:rPr>
          <w:rFonts w:ascii="Times New Roman" w:cs="Times New Roman" w:eastAsia="Times New Roman" w:hAnsi="Times New Roman"/>
          <w:sz w:val="18"/>
          <w:szCs w:val="18"/>
          <w:i w:val="1"/>
          <w:iCs w:val="1"/>
          <w:color w:val="auto"/>
        </w:rPr>
        <w:t>Treasury</w:t>
      </w:r>
      <w:r>
        <w:rPr>
          <w:rFonts w:ascii="Times New Roman" w:cs="Times New Roman" w:eastAsia="Times New Roman" w:hAnsi="Times New Roman"/>
          <w:sz w:val="18"/>
          <w:szCs w:val="18"/>
          <w:color w:val="auto"/>
        </w:rPr>
        <w:t>”) Office of Foreign Assets Control; (ii) such Purchaser, its parents, subsidiaries, affiliated companies, officers, directors and partners, and to such Purchaser’s knowledge, its stockholders, owners, employees, and agents, are not on the List of Specially Designated Nationals and Blocked Persons maintained by Treasury and have not been designated by Treasury as a financial institution of primary money laundering concern subject to special measures under Section 311 of the USA PATRIOT Act, Pub. L. 107-56; (iii) to such Purchaser’s knowledge, the funds to be used to acquire the Securities are not derived from activities that contravene applicable anti-money laundering laws and regulations; (iv) such Purchaser is in compliance with all other applicable anti-money laundering laws and regulations and has implemented anti money laundering procedures that comply with applicable anti-money laundering laws and regulations, including, as applicable, the requirements of the Bank Secrecy Act, as amended by the USA PATRIOT Act, Pub. L. 107 56; and (v) to the best of its knowledge</w:t>
      </w:r>
    </w:p>
    <w:p>
      <w:pPr>
        <w:spacing w:after="0" w:line="6" w:lineRule="exact"/>
        <w:rPr>
          <w:rFonts w:ascii="Times New Roman" w:cs="Times New Roman" w:eastAsia="Times New Roman" w:hAnsi="Times New Roman"/>
          <w:sz w:val="18"/>
          <w:szCs w:val="18"/>
          <w:color w:val="auto"/>
        </w:rPr>
      </w:pPr>
    </w:p>
    <w:p>
      <w:pPr>
        <w:jc w:val="both"/>
        <w:ind w:left="4" w:hanging="4"/>
        <w:spacing w:after="0" w:line="255" w:lineRule="auto"/>
        <w:tabs>
          <w:tab w:leader="none" w:pos="30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funds to be provided by such Purchaser are being tendered on behalf of a person or entity who has not been identified to such Purchaser, and (B) upon the reasonable request of the Company, such Purchaser agrees to re-certify in writing the representations, warranties and covenants provided in this paragraph.</w:t>
      </w:r>
    </w:p>
    <w:p>
      <w:pPr>
        <w:spacing w:after="0" w:line="185" w:lineRule="exact"/>
        <w:rPr>
          <w:rFonts w:ascii="Times New Roman" w:cs="Times New Roman" w:eastAsia="Times New Roman" w:hAnsi="Times New Roman"/>
          <w:sz w:val="18"/>
          <w:szCs w:val="18"/>
          <w:color w:val="auto"/>
        </w:rPr>
      </w:pPr>
    </w:p>
    <w:p>
      <w:pPr>
        <w:jc w:val="both"/>
        <w:ind w:left="4" w:firstLine="987"/>
        <w:spacing w:after="0" w:line="258" w:lineRule="auto"/>
        <w:tabs>
          <w:tab w:leader="none" w:pos="123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“Bad Actor” Disqualification Events</w:t>
      </w:r>
      <w:r>
        <w:rPr>
          <w:rFonts w:ascii="Times New Roman" w:cs="Times New Roman" w:eastAsia="Times New Roman" w:hAnsi="Times New Roman"/>
          <w:sz w:val="18"/>
          <w:szCs w:val="18"/>
          <w:color w:val="auto"/>
        </w:rPr>
        <w:t>. Neither (i) the Purchaser, (ii) any of its directors, executive officers, other officers that may serve as a director or officer of any company in which it invests, general partners or managing members, nor (iii) any beneficial owner of the Company’s voting equity securities (in accordance with Rule 506(d) of the Securities Act) held by the Purchaser is subject to any Disqualification Event, except for Disqualification Events covered by Rule 506(d)(2)(ii) or (iii) or (d)(3) under the Securities Act and disclosed reasonably in advance of the Closing in writing in reasonable detail to the Company.</w:t>
      </w:r>
    </w:p>
    <w:p>
      <w:pPr>
        <w:spacing w:after="0" w:line="183" w:lineRule="exact"/>
        <w:rPr>
          <w:rFonts w:ascii="Times New Roman" w:cs="Times New Roman" w:eastAsia="Times New Roman" w:hAnsi="Times New Roman"/>
          <w:sz w:val="18"/>
          <w:szCs w:val="18"/>
          <w:color w:val="auto"/>
        </w:rPr>
      </w:pPr>
    </w:p>
    <w:p>
      <w:pPr>
        <w:jc w:val="both"/>
        <w:ind w:left="4" w:firstLine="987"/>
        <w:spacing w:after="0" w:line="255" w:lineRule="auto"/>
        <w:tabs>
          <w:tab w:leader="none" w:pos="122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by Non-United States Persons</w:t>
      </w:r>
      <w:r>
        <w:rPr>
          <w:rFonts w:ascii="Times New Roman" w:cs="Times New Roman" w:eastAsia="Times New Roman" w:hAnsi="Times New Roman"/>
          <w:sz w:val="18"/>
          <w:szCs w:val="18"/>
          <w:color w:val="auto"/>
        </w:rPr>
        <w:t>. If Purchaser is not a United States person, the Purchaser hereby represents that the Purchaser has satisfied the laws of the Purchaser’s jurisdiction in connection with any invitation to subscribe for the Securities or any use of the Transaction Documents, including (i) the legal requirements within the Purchaser’s jurisdiction for the purchase of the Securities, (ii) any foreign exchange restrictions applicable to such purchase, (iii) any governmental or other consents that may need to be obtained and (iv) the income tax and other tax consequences, if any, that may be relevant to the purchase, holding, redemption, sale or transfer of the Securities. The Purchaser’s subscription and payment for, and the Purchaser’s continued beneficial ownership of, the Securities will not violate any applicable securities or other laws of the Purchaser’s jurisdiction.</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4"/>
          </w:cols>
          <w:pgMar w:left="436" w:top="270" w:right="439" w:bottom="1440" w:gutter="0" w:footer="0" w:header="0"/>
        </w:sectPr>
      </w:pPr>
    </w:p>
    <w:bookmarkStart w:id="25" w:name="page26"/>
    <w:bookmarkEnd w:id="25"/>
    <w:p>
      <w:pPr>
        <w:jc w:val="both"/>
        <w:ind w:firstLine="987"/>
        <w:spacing w:after="0" w:line="253" w:lineRule="auto"/>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Foreign Investor</w:t>
      </w:r>
      <w:r>
        <w:rPr>
          <w:rFonts w:ascii="Times New Roman" w:cs="Times New Roman" w:eastAsia="Times New Roman" w:hAnsi="Times New Roman"/>
          <w:sz w:val="18"/>
          <w:szCs w:val="18"/>
          <w:color w:val="auto"/>
        </w:rPr>
        <w:t>. The Purchaser is not and is not Controlled by a “foreign person,” as defined in Section 721 of the Defense Production Act of 1950, as amended, including all implementing regulations thereof (the “</w:t>
      </w:r>
      <w:r>
        <w:rPr>
          <w:rFonts w:ascii="Times New Roman" w:cs="Times New Roman" w:eastAsia="Times New Roman" w:hAnsi="Times New Roman"/>
          <w:sz w:val="18"/>
          <w:szCs w:val="18"/>
          <w:i w:val="1"/>
          <w:iCs w:val="1"/>
          <w:color w:val="auto"/>
        </w:rPr>
        <w:t>DPA</w:t>
      </w:r>
      <w:r>
        <w:rPr>
          <w:rFonts w:ascii="Times New Roman" w:cs="Times New Roman" w:eastAsia="Times New Roman" w:hAnsi="Times New Roman"/>
          <w:sz w:val="18"/>
          <w:szCs w:val="18"/>
          <w:color w:val="auto"/>
        </w:rPr>
        <w:t>”). The Purchaser does not permit any foreign person affiliated with the Purchaser, whether affiliated as a limited partner or otherwise, to obtain through the Purchaser any of the following with respect to the Company: (i) access to any “material nonpublic technical information” (as defined in the DPA) in the possession of the Company; (ii) membership or observer rights on the Board of Directors or equivalent governing body of the Company or the right to nominate an individual to a position on the Board of Directors or equivalent governing body of the Company; (iii) any involvement, other than through the voting of shares, in the substantive decision making of the Company regarding (x) the use, development, acquisition, or release of any “critical technology” (as defined in the DPA), (y) the use, development, acquisition, safekeeping, or release of “sensitive personal data” (as defined in the DPA) of U.S. citizens maintained or collected by the Company, or (z) the management, operation, manufacture, or supply of “covered investment critical infrastructure” (as defined in the DPA); or (iv) “control” of the Company (as defined in the DPA).</w:t>
      </w:r>
    </w:p>
    <w:p>
      <w:pPr>
        <w:spacing w:after="0" w:line="194" w:lineRule="exact"/>
        <w:rPr>
          <w:rFonts w:ascii="Times New Roman" w:cs="Times New Roman" w:eastAsia="Times New Roman" w:hAnsi="Times New Roman"/>
          <w:sz w:val="18"/>
          <w:szCs w:val="18"/>
          <w:color w:val="auto"/>
        </w:rPr>
      </w:pPr>
    </w:p>
    <w:p>
      <w:pPr>
        <w:jc w:val="both"/>
        <w:ind w:firstLine="987"/>
        <w:spacing w:after="0" w:line="256" w:lineRule="auto"/>
        <w:tabs>
          <w:tab w:leader="none" w:pos="124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Such Purchaser acknowledges that the Company may deliver to the applicable securities regulatory authority or regulator in British Columbia certain personal information pertaining to such Purchaser, such information is being collected indirectly by the applicable securities regulatory authority or regulator under the authority granted to it in the applicable legislation under Canadian Securities Law, such information is being collected for the purposes of the administration and enforcement of the securities legislation of British Columbia and the Purchaser may contact the British Columbia Securities Commission with respect to questions about the security regulatory authority’s or regulator’s indirect collection of such information.</w:t>
      </w:r>
    </w:p>
    <w:p>
      <w:pPr>
        <w:spacing w:after="0" w:line="187" w:lineRule="exact"/>
        <w:rPr>
          <w:rFonts w:ascii="Times New Roman" w:cs="Times New Roman" w:eastAsia="Times New Roman" w:hAnsi="Times New Roman"/>
          <w:sz w:val="18"/>
          <w:szCs w:val="18"/>
          <w:color w:val="auto"/>
        </w:rPr>
      </w:pPr>
    </w:p>
    <w:p>
      <w:pPr>
        <w:ind w:right="20" w:firstLine="987"/>
        <w:spacing w:after="0" w:line="282" w:lineRule="auto"/>
        <w:tabs>
          <w:tab w:leader="none" w:pos="131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w:t>
      </w:r>
      <w:r>
        <w:rPr>
          <w:rFonts w:ascii="Times New Roman" w:cs="Times New Roman" w:eastAsia="Times New Roman" w:hAnsi="Times New Roman"/>
          <w:sz w:val="18"/>
          <w:szCs w:val="18"/>
          <w:color w:val="auto"/>
        </w:rPr>
        <w:t>. As of November 30, 2022 and for the three years prior thereto, none of the Purchasers constituted an “interested stockholder” (as defined in Section 203) of the Company.</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Company and each of the Purchasers acknowledge and agree that no party to this Agreement has made or makes any representations or warranties with respect to the transactions contemplated hereby other than those specifically set forth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the Transaction Documents.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OTHER AGREEMENTS OF THE PARTIES</w:t>
      </w:r>
    </w:p>
    <w:p>
      <w:pPr>
        <w:spacing w:after="0" w:line="20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Board Appointment</w:t>
      </w:r>
      <w:r>
        <w:rPr>
          <w:rFonts w:ascii="Times New Roman" w:cs="Times New Roman" w:eastAsia="Times New Roman" w:hAnsi="Times New Roman"/>
          <w:sz w:val="18"/>
          <w:szCs w:val="18"/>
          <w:color w:val="auto"/>
        </w:rPr>
        <w:t xml:space="preserve">. Contemporaneously with the execution and delivery of this Agreement, the Company and the Purchasers will execute the Board Rights Letter in the form attached hereto as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87"/>
        <w:spacing w:after="0" w:line="253" w:lineRule="auto"/>
        <w:tabs>
          <w:tab w:leader="none" w:pos="124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xml:space="preserve">. Notwithstanding any other provision of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each Purchaser covenants that the Securities may be disposed of only pursuant to an effective registration statement under, and in compliance with the requirements of, the Securities Act and Canadian Securities Laws, or pursuant to an available exemption from, or in a transaction not subject to, the registration requirements of the Securities Act and Canadian Securities Laws, and in compliance with any applicable state, provincial and federal securities laws. In connection with any transfer of the Securities other than (i) pursuant to an effective registration statement, (ii) to the Company, (iii) pursuant to Rule 144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Purchaser provides the Company with reasonable assurances (in the form of seller and, if applicable, broker representation letters) that the securities may be sold pursuant to such rule) or (iv) in connection with a bona fide pledge as contemplated in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or applicable state securities law. As a condition of transfer, any such transferee shall agree in writing to be bound by the terms of this Agreement and the Registration Rights Agreement and shall have the rights and obligations of a Purchaser under this Agreement and the Registration Rights Agreement with respect to such transferred Securities.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70" w:right="439" w:bottom="1440" w:gutter="0" w:footer="0" w:header="0"/>
        </w:sectPr>
      </w:pPr>
    </w:p>
    <w:bookmarkStart w:id="26" w:name="page27"/>
    <w:bookmarkEnd w:id="26"/>
    <w:p>
      <w:pPr>
        <w:ind w:right="20" w:firstLine="987"/>
        <w:spacing w:after="0" w:line="282" w:lineRule="auto"/>
        <w:tabs>
          <w:tab w:leader="none" w:pos="124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Legends</w:t>
      </w:r>
      <w:r>
        <w:rPr>
          <w:rFonts w:ascii="Times New Roman" w:cs="Times New Roman" w:eastAsia="Times New Roman" w:hAnsi="Times New Roman"/>
          <w:sz w:val="18"/>
          <w:szCs w:val="18"/>
          <w:color w:val="auto"/>
        </w:rPr>
        <w:t xml:space="preserve">. Any certificates or book-entry notations shall bear (i) any legend as required by the “blue sky” laws of any state, and (ii) a restrictive legend in substantially the following form, until such time as they are not required under </w:t>
      </w:r>
      <w:r>
        <w:rPr>
          <w:rFonts w:ascii="Times New Roman" w:cs="Times New Roman" w:eastAsia="Times New Roman" w:hAnsi="Times New Roman"/>
          <w:sz w:val="18"/>
          <w:szCs w:val="18"/>
          <w:u w:val="single" w:color="auto"/>
          <w:color w:val="auto"/>
        </w:rPr>
        <w:t>Section 4.2(c)</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both"/>
        <w:ind w:left="980"/>
        <w:spacing w:after="0" w:line="252" w:lineRule="auto"/>
        <w:rPr>
          <w:sz w:val="20"/>
          <w:szCs w:val="20"/>
          <w:color w:val="auto"/>
        </w:rPr>
      </w:pPr>
      <w:r>
        <w:rPr>
          <w:rFonts w:ascii="Times New Roman" w:cs="Times New Roman" w:eastAsia="Times New Roman" w:hAnsi="Times New Roman"/>
          <w:sz w:val="18"/>
          <w:szCs w:val="18"/>
          <w:color w:val="auto"/>
        </w:rPr>
        <w:t>THE OFFER AND SALE OF THESE SECURITIES AND THE SECURITIES ISSUABLE UPON EXERCISE OF THESE SECURITIES HAVE NOT BEEN REGISTERED UNDER THE SECURITIES ACT OF 1933, AS AMENDED (THE “SECURITIES ACT”), OR ANY APPLICABLE STATE SECURITIES LAWS. THE SECURITIES MAY NOT BE OFFERED FOR SALE, SOLD, TRANSFERRED, ASSIGNED OR OTHERWISE DISPOSED OF (I) IN THE ABSENCE OF (A) AN EFFECTIVE REGISTRATION STATEMENT FOR THE SECURITIES UNDER THE SECURITIES ACT OR (B) AN AVAILABLE EXEMPTION FROM, OR IN A TRANSACTION NOT SUBJECT TO, THE REGISTRATION REQUIREMENTS OF THE SECURITIES ACT AND IN EACH CASE IN ACCORDANCE WITH APPLICABLE STATE SECURITIES LAWS OR BLUE SKY LAWS AS EVIDENCED BY A LEGAL OPINION OF COUNSEL REASONABLY SATISFACTORY TO THE COMPANY AND ITS TRANSFER AGENT OR (II) UNLESS SOLD PURSUANT TO RULE 144 UNDER THE SECURITIES ACT. NOTWITHSTANDING THE FOREGOING, THE SECURITIES MAY BE PLEDGED IN CONNECTION WITH A BONA FIDE MARGIN ACCOUNT OR OTHER LOAN OR FINANCING ARRANGEMENT SECURED BY THE SECURITIES; PROVIDED THAT IN CONNECTION WITH ANY FORECLOSURE OR TRANSFER OF THE SECURITIES, THE TRANSFEROR SHALL COMPLY WITH THE PROVISIONS HEREIN, IN THE SECURITIES PURCHASE AGREEMENT AND THE REGISTRATION RIGHTS AGREEMENT, AND UPON FORECLOSURE OR TRANSFER OF THE SECURITIES, SUCH FORECLOSING PERSON OR TRANSFEREE SHALL COMPLY WITH ALL PROVISIONS CONTAINED HEREIN AND IN THE SECURITIES PURCHASE AGREEMENT AND THE REGISTRATION RIGHTS AGREEMENT.</w:t>
      </w:r>
    </w:p>
    <w:p>
      <w:pPr>
        <w:spacing w:after="0" w:line="196"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and (iii) until the expiry of the statutory imposed resale restrictions under applicable Canadian Securities Laws, a restrictive legend in substantially the following form:</w:t>
      </w:r>
    </w:p>
    <w:p>
      <w:pPr>
        <w:spacing w:after="0" w:line="54" w:lineRule="exact"/>
        <w:rPr>
          <w:sz w:val="20"/>
          <w:szCs w:val="20"/>
          <w:color w:val="auto"/>
        </w:rPr>
      </w:pPr>
    </w:p>
    <w:p>
      <w:pPr>
        <w:jc w:val="both"/>
        <w:ind w:left="980" w:right="20"/>
        <w:spacing w:after="0" w:line="266" w:lineRule="auto"/>
        <w:rPr>
          <w:sz w:val="20"/>
          <w:szCs w:val="20"/>
          <w:color w:val="auto"/>
        </w:rPr>
      </w:pPr>
      <w:r>
        <w:rPr>
          <w:rFonts w:ascii="Times New Roman" w:cs="Times New Roman" w:eastAsia="Times New Roman" w:hAnsi="Times New Roman"/>
          <w:sz w:val="18"/>
          <w:szCs w:val="18"/>
          <w:color w:val="auto"/>
        </w:rPr>
        <w:t>UNLESS PERMITTED UNDER SECURITIES LEGISLATION, THE SECURITIES REPRESENTED BY THIS CERTIFICATE, AND THE SECURITIES UNDERLYING THESE SECURITIES MAY NOT BE SOLD, TRANSFERRED, HYPOTHECATED OR OTHERWISE TRADED UNTIL [INSERT THE DATE THAT IS FOUR MONTHS AND ONE DAY AFTER THE CLOSING DATE.].</w:t>
      </w:r>
    </w:p>
    <w:p>
      <w:pPr>
        <w:spacing w:after="0" w:line="176" w:lineRule="exact"/>
        <w:rPr>
          <w:sz w:val="20"/>
          <w:szCs w:val="20"/>
          <w:color w:val="auto"/>
        </w:rPr>
      </w:pPr>
    </w:p>
    <w:p>
      <w:pPr>
        <w:jc w:val="both"/>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The Company acknowledges and agrees that a Purchaser may from time to time pledge and/or grant a security interest in some or all of the legended Securities in connection with applicable securities laws, pursuant to a bona fide margin agreement in compliance with a bona fide margin loan. Such a pledge would not be subject to approval or consent of the Company and no legal opinion of legal counsel to the pledgee, secured party or pledgor shall be required in connection with the pledge, but such legal opinion shall be required in connection with a subsequent transfer or foreclosure following default by the Purchaser transferee of the pledge. No notice shall be required of such pledge, but Purchaser shall promptly notify the Company of any such subsequent transfer or foreclosure. Each Purchaser acknowledges that the Company shall not be responsible for any pledges relating to, or the grant of any security interest in, any of the Securities or for any agreement, understanding or arrangement between any Purchaser and its pledgee or secured party. At the appropriate Purchaser’s expense, the Company will execute and deliver such reasonable documentation as such Purchaser may reasonably request in connection with a pledge or transfer of the Securities, including the preparation and filing of any required prospectus supplement under Rule 424(b)(3) of the Securities Act or other applicable provision of the Securities Act to appropriately amend the list of selling stockholders thereunder. Each Purchaser acknowledges and agrees that, except as otherwise provided in </w:t>
      </w:r>
      <w:r>
        <w:rPr>
          <w:rFonts w:ascii="Times New Roman" w:cs="Times New Roman" w:eastAsia="Times New Roman" w:hAnsi="Times New Roman"/>
          <w:sz w:val="18"/>
          <w:szCs w:val="18"/>
          <w:u w:val="single" w:color="auto"/>
          <w:color w:val="auto"/>
        </w:rPr>
        <w:t>Section 4.2(c)</w:t>
      </w:r>
      <w:r>
        <w:rPr>
          <w:rFonts w:ascii="Times New Roman" w:cs="Times New Roman" w:eastAsia="Times New Roman" w:hAnsi="Times New Roman"/>
          <w:sz w:val="18"/>
          <w:szCs w:val="18"/>
          <w:color w:val="auto"/>
        </w:rPr>
        <w:t xml:space="preserve">, any Securities subject to a pledge or security interest as contemplated by this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 xml:space="preserve"> shall continue to bear the legend set forth in this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 xml:space="preserve"> and be subject to the restrictions on transfer set forth in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0"/>
          </w:cols>
          <w:pgMar w:left="440" w:top="270" w:right="439" w:bottom="1440" w:gutter="0" w:footer="0" w:header="0"/>
        </w:sectPr>
      </w:pPr>
    </w:p>
    <w:bookmarkStart w:id="27" w:name="page28"/>
    <w:bookmarkEnd w:id="27"/>
    <w:p>
      <w:pPr>
        <w:jc w:val="both"/>
        <w:ind w:left="4" w:right="20" w:firstLine="987"/>
        <w:spacing w:after="0" w:line="268" w:lineRule="auto"/>
        <w:tabs>
          <w:tab w:leader="none" w:pos="124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Removal of Legends</w:t>
      </w:r>
      <w:r>
        <w:rPr>
          <w:rFonts w:ascii="Times New Roman" w:cs="Times New Roman" w:eastAsia="Times New Roman" w:hAnsi="Times New Roman"/>
          <w:sz w:val="17"/>
          <w:szCs w:val="17"/>
          <w:color w:val="auto"/>
        </w:rPr>
        <w:t xml:space="preserve">. If requested by a Purchaser, all legends set forth in </w:t>
      </w:r>
      <w:r>
        <w:rPr>
          <w:rFonts w:ascii="Times New Roman" w:cs="Times New Roman" w:eastAsia="Times New Roman" w:hAnsi="Times New Roman"/>
          <w:sz w:val="17"/>
          <w:szCs w:val="17"/>
          <w:u w:val="single" w:color="auto"/>
          <w:color w:val="auto"/>
        </w:rPr>
        <w:t>Section 4.2(b)</w:t>
      </w:r>
      <w:r>
        <w:rPr>
          <w:rFonts w:ascii="Times New Roman" w:cs="Times New Roman" w:eastAsia="Times New Roman" w:hAnsi="Times New Roman"/>
          <w:sz w:val="17"/>
          <w:szCs w:val="17"/>
          <w:color w:val="auto"/>
        </w:rPr>
        <w:t xml:space="preserve"> above shall be removed and the Company shall issue a book-entry notation (or certificate, as applicable) to such holder or issue to such holder by electronic delivery at the applicable balance account at the Depository Trust Company (“</w:t>
      </w:r>
      <w:r>
        <w:rPr>
          <w:rFonts w:ascii="Times New Roman" w:cs="Times New Roman" w:eastAsia="Times New Roman" w:hAnsi="Times New Roman"/>
          <w:sz w:val="17"/>
          <w:szCs w:val="17"/>
          <w:i w:val="1"/>
          <w:iCs w:val="1"/>
          <w:color w:val="auto"/>
        </w:rPr>
        <w:t>DTC</w:t>
      </w:r>
      <w:r>
        <w:rPr>
          <w:rFonts w:ascii="Times New Roman" w:cs="Times New Roman" w:eastAsia="Times New Roman" w:hAnsi="Times New Roman"/>
          <w:sz w:val="17"/>
          <w:szCs w:val="17"/>
          <w:color w:val="auto"/>
        </w:rPr>
        <w:t>”), if (i) such Securities are registered for resale under the Securities Act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the Purchaser is selling pursuant to the effective registration statement registering the Securities for resale, the Purchaser agrees to only sell such Securities during such time that such registration statement is effective and not withdrawn or suspended, and only as permitted by such registration statement), (ii) such Securities are sold or transferred pursuant to Rule 144 (if the transferor is not an Affiliate of the Company and assuming cashless exercise of the Warrants), or</w:t>
      </w:r>
    </w:p>
    <w:p>
      <w:pPr>
        <w:spacing w:after="0" w:line="4" w:lineRule="exact"/>
        <w:rPr>
          <w:rFonts w:ascii="Times New Roman" w:cs="Times New Roman" w:eastAsia="Times New Roman" w:hAnsi="Times New Roman"/>
          <w:sz w:val="17"/>
          <w:szCs w:val="17"/>
          <w:color w:val="auto"/>
        </w:rPr>
      </w:pPr>
    </w:p>
    <w:p>
      <w:pPr>
        <w:jc w:val="both"/>
        <w:ind w:left="4" w:hanging="4"/>
        <w:spacing w:after="0" w:line="251" w:lineRule="auto"/>
        <w:tabs>
          <w:tab w:leader="none" w:pos="35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Securities are eligible for sale under Rule 144, without the requirement for the Company to be in compliance with the current public information required under Rule 144 as to such Securities and without volume or manner-of-sale restrictions. Following the earlier of (i) the effective date of any resale registration statement and (ii) Rule 144 becoming available for the resale of Securities, without the requirement for the Company to be in compliance with the current public information required under Rule 144 as to such Securities and without volume or manner-of-sale restrictions and assuming cashless exercise of the Warrants, the Company shall cause the Transfer Agent to remove any restrictive legends on any Pre-Funded Warrant Shares within two Business Days of such request. Any fees (with respect to the Transfer Agent, Company U.S. Counsel or otherwise) associated with the issuance of such opinion or the removal of such legend shall be borne by the Company. Following the effective date of any resale registration statement, or at such earlier time as a legend is no longer required for certain Securities, the Company will promptly, following the delivery by a Purchaser to the Company (with written notice to the Company) of (i) a legended certificate or book-entry notation representing Pre-Funded Warrant Shares (endorsed or with stock powers attached, signatures guaranteed, and otherwise in the form necessary to affect the reissuance and/or transfer) and an opinion of counsel to the extent required by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or (ii) an Exercise Notice (as defined in the Pre-Funded Warrants and in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in the manner stated in the Pre-Funded Warrants to effect the exercise of such Pre-Funded Warrants in accordance with its terms, and an opinion of counsel to the extent required by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(such date, the “</w:t>
      </w:r>
      <w:r>
        <w:rPr>
          <w:rFonts w:ascii="Times New Roman" w:cs="Times New Roman" w:eastAsia="Times New Roman" w:hAnsi="Times New Roman"/>
          <w:sz w:val="18"/>
          <w:szCs w:val="18"/>
          <w:i w:val="1"/>
          <w:iCs w:val="1"/>
          <w:color w:val="auto"/>
        </w:rPr>
        <w:t>Legend Removal Date</w:t>
      </w:r>
      <w:r>
        <w:rPr>
          <w:rFonts w:ascii="Times New Roman" w:cs="Times New Roman" w:eastAsia="Times New Roman" w:hAnsi="Times New Roman"/>
          <w:sz w:val="18"/>
          <w:szCs w:val="18"/>
          <w:color w:val="auto"/>
        </w:rPr>
        <w:t xml:space="preserve">”), deliver or cause to be delivered to such Purchaser a certificate or book-entry notation free from all restrictive and other legends. The Company may not make any notation on its records or give instructions to the Transfer Agent that enlarge the restrictions on transfer set forth in this </w:t>
      </w:r>
      <w:r>
        <w:rPr>
          <w:rFonts w:ascii="Times New Roman" w:cs="Times New Roman" w:eastAsia="Times New Roman" w:hAnsi="Times New Roman"/>
          <w:sz w:val="18"/>
          <w:szCs w:val="18"/>
          <w:u w:val="single" w:color="auto"/>
          <w:color w:val="auto"/>
        </w:rPr>
        <w:t>Section 4.2(c)</w:t>
      </w:r>
      <w:r>
        <w:rPr>
          <w:rFonts w:ascii="Times New Roman" w:cs="Times New Roman" w:eastAsia="Times New Roman" w:hAnsi="Times New Roman"/>
          <w:sz w:val="18"/>
          <w:szCs w:val="18"/>
          <w:color w:val="auto"/>
        </w:rPr>
        <w:t>. Certificates or book-entry notations subject to legend removal hereunder may be transmitted by the Transfer Agent to the Purchasers by crediting the account of the Purchaser’s prime broker with DTC as directed by such Purchaser.</w:t>
      </w:r>
    </w:p>
    <w:p>
      <w:pPr>
        <w:spacing w:after="0" w:line="189" w:lineRule="exact"/>
        <w:rPr>
          <w:rFonts w:ascii="Times New Roman" w:cs="Times New Roman" w:eastAsia="Times New Roman" w:hAnsi="Times New Roman"/>
          <w:sz w:val="18"/>
          <w:szCs w:val="18"/>
          <w:color w:val="auto"/>
        </w:rPr>
      </w:pPr>
    </w:p>
    <w:p>
      <w:pPr>
        <w:jc w:val="both"/>
        <w:ind w:left="4" w:firstLine="987"/>
        <w:spacing w:after="0" w:line="253" w:lineRule="auto"/>
        <w:tabs>
          <w:tab w:leader="none" w:pos="125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w:t>
      </w:r>
      <w:r>
        <w:rPr>
          <w:rFonts w:ascii="Times New Roman" w:cs="Times New Roman" w:eastAsia="Times New Roman" w:hAnsi="Times New Roman"/>
          <w:sz w:val="18"/>
          <w:szCs w:val="18"/>
          <w:color w:val="auto"/>
        </w:rPr>
        <w:t xml:space="preserve">. Each Purchaser hereunder acknowledges its primary responsibilities under the Securities Act and accordingly will not sell or otherwise transfer the Securities or any interest therein without complying with the requirements of the Securities Act. If a registration statement has been filed and remains effective, each Purchaser hereunder may sell the Pre-Funded Warrant Shares in accordance with the plan of distribution contained in such registration statement and if it does so it will comply therewith and with the related prospectus delivery requirements unless an exemption therefrom is available. Each Purchaser, severally and not jointly with the other Purchasers, agrees that if it is notified by the Company in writing at any time that a registration statement registering the resale of the Pre-Funded Warrant Shares is not effective or that the prospectus included in such registration statement no longer complies with the requirements of Section 10 of the Securities Act, the Purchaser will refrain from selling such Pre-Funded Warrant Shares until such time as the Purchaser is notified by the Company that such registration statement is effective or such prospectus is compliant with Section 10 of the Securities Act, unless such Purchaser is able to, and does, sell such Pre-Funded Warrant Shares pursuant to an available exemption from the registration requirements of Section 5 of the Securities Act. Both the Company and its Transfer Agent, and their respective directors, officers, employees and agents, may rely on this </w:t>
      </w:r>
      <w:r>
        <w:rPr>
          <w:rFonts w:ascii="Times New Roman" w:cs="Times New Roman" w:eastAsia="Times New Roman" w:hAnsi="Times New Roman"/>
          <w:sz w:val="18"/>
          <w:szCs w:val="18"/>
          <w:u w:val="single" w:color="auto"/>
          <w:color w:val="auto"/>
        </w:rPr>
        <w:t>Section 4.2(d)</w:t>
      </w:r>
      <w:r>
        <w:rPr>
          <w:rFonts w:ascii="Times New Roman" w:cs="Times New Roman" w:eastAsia="Times New Roman" w:hAnsi="Times New Roman"/>
          <w:sz w:val="18"/>
          <w:szCs w:val="18"/>
          <w:color w:val="auto"/>
        </w:rPr>
        <w:t xml:space="preserve"> and each Purchaser hereunder will indemnify and hold harmless each of such persons from any breaches or violations of this </w:t>
      </w:r>
      <w:r>
        <w:rPr>
          <w:rFonts w:ascii="Times New Roman" w:cs="Times New Roman" w:eastAsia="Times New Roman" w:hAnsi="Times New Roman"/>
          <w:sz w:val="18"/>
          <w:szCs w:val="18"/>
          <w:u w:val="single" w:color="auto"/>
          <w:color w:val="auto"/>
        </w:rPr>
        <w:t>Section 4.2(d)</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4"/>
          </w:cols>
          <w:pgMar w:left="436" w:top="270" w:right="439" w:bottom="1440" w:gutter="0" w:footer="0" w:header="0"/>
        </w:sectPr>
      </w:pPr>
    </w:p>
    <w:bookmarkStart w:id="28" w:name="page29"/>
    <w:bookmarkEnd w:id="28"/>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4.3 </w:t>
      </w: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The Company shall take all action necessary to at all times have authorized, and reserved for the purpose of issuance from and after the Closing Date, the number of shares of Common Stock issuable upon exercise of the Pre-Funded Warrants issued at the Closing (without taking into account any limitations on exercise of the Pre-Funded Warrants set forth in the Pre-Funded Warrants).</w:t>
      </w:r>
    </w:p>
    <w:p>
      <w:pPr>
        <w:spacing w:after="0" w:line="176" w:lineRule="exact"/>
        <w:rPr>
          <w:sz w:val="20"/>
          <w:szCs w:val="20"/>
          <w:color w:val="auto"/>
        </w:rPr>
      </w:pPr>
    </w:p>
    <w:p>
      <w:pPr>
        <w:jc w:val="both"/>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Furnishing of Information</w:t>
      </w:r>
      <w:r>
        <w:rPr>
          <w:rFonts w:ascii="Times New Roman" w:cs="Times New Roman" w:eastAsia="Times New Roman" w:hAnsi="Times New Roman"/>
          <w:sz w:val="18"/>
          <w:szCs w:val="18"/>
          <w:color w:val="auto"/>
        </w:rPr>
        <w:t>. In order to enable the Purchasers to sell the Securities under Rule 144, for a period of twelve (12) months from the Closing, the Company shall use its commercially reasonable efforts to timely file (or obtain extensions in respect thereof and file within the applicable grace period) all reports required to be filed by the Company after the date hereof pursuant to the Exchange Act. During such twelve (12) month period, if the Company is not required to file reports pursuant to the Exchange Act, it will prepare and furnish to the Purchasers and make publicly available in accordance with Rule 144(c) such information as is required for the Purchasers to sell the Securities under Rule 144.</w:t>
      </w:r>
    </w:p>
    <w:p>
      <w:pPr>
        <w:spacing w:after="0" w:line="183"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and shall use its commercially reasonable efforts to ensure that no Affiliate of the Company shall, sell, offer for sale or solicit offers to buy or otherwise negotiate in respect of any security (as defined in Section 2 of the Securities Act) that will be integrated with the offer or sale of the Securities in a manner that would require the registration under the Securities Act of the sale of the Securities to the Purchasers, or that will be integrated with the offer or sale of the Securities for purposes of the rules and regulations of any Trading Market such that it would require stockholder approval prior to the closing of such other transaction unless stockholder approval is obtained before the closing of such subsequent transaction.</w:t>
      </w:r>
    </w:p>
    <w:p>
      <w:pPr>
        <w:spacing w:after="0" w:line="187" w:lineRule="exact"/>
        <w:rPr>
          <w:sz w:val="20"/>
          <w:szCs w:val="20"/>
          <w:color w:val="auto"/>
        </w:rPr>
      </w:pPr>
    </w:p>
    <w:p>
      <w:pPr>
        <w:jc w:val="both"/>
        <w:ind w:firstLine="440"/>
        <w:spacing w:after="0" w:line="24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By 9:00 A.M., New York City time, on the Trading Day immediately following the date hereof, the Company shall issue a press release (the “</w:t>
      </w:r>
      <w:r>
        <w:rPr>
          <w:rFonts w:ascii="Times New Roman" w:cs="Times New Roman" w:eastAsia="Times New Roman" w:hAnsi="Times New Roman"/>
          <w:sz w:val="18"/>
          <w:szCs w:val="18"/>
          <w:i w:val="1"/>
          <w:iCs w:val="1"/>
          <w:color w:val="auto"/>
        </w:rPr>
        <w:t>Press Release</w:t>
      </w:r>
      <w:r>
        <w:rPr>
          <w:rFonts w:ascii="Times New Roman" w:cs="Times New Roman" w:eastAsia="Times New Roman" w:hAnsi="Times New Roman"/>
          <w:sz w:val="18"/>
          <w:szCs w:val="18"/>
          <w:color w:val="auto"/>
        </w:rPr>
        <w:t>”) disclosing all material terms of the transactions contemplated hereby. On or before 9:00 A.M., New York City time, on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Trading Day immediately following the date hereof, the Company will file a Current Report on Form 8-K with the Commission describing the terms of the Transaction Documents (and including as exhibits to such Current Report on Form 8-K the material Transaction Documents (including, without limitation, this Agreement, the form of Pre-Funded Warrant and the Registration Rights Agreement)). From and after the issuance of the Press Release, no Purchaser shall be in possession of any material, non-public information regarding the Company or its Subsidiaries received from the Company, any Subsidiary or any of their respective officers, directors, employees or agents, that is not disclosed in the Press Release unless a Purchaser shall have executed a written agreement regarding the confidentiality and use of such information. Each Purchaser, severally and not jointly with the other Purchasers, covenants that until such time as the transactions contemplated by this Agreement are required to be publicly disclosed by the Company as described in this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such Purchaser will maintain the confidentiality of all disclosures made to it in connection with this transaction (including the existence and terms of this transaction).</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0"/>
          </w:cols>
          <w:pgMar w:left="440" w:top="270" w:right="439" w:bottom="1440" w:gutter="0" w:footer="0" w:header="0"/>
        </w:sectPr>
      </w:pPr>
    </w:p>
    <w:bookmarkStart w:id="29" w:name="page30"/>
    <w:bookmarkEnd w:id="29"/>
    <w:p>
      <w:pPr>
        <w:jc w:val="both"/>
        <w:ind w:left="4"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4.7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Except with respect to the material terms and conditions of the transactions contemplated by the Transaction Documents, including this Agreement, or as expressly required by any applicable securities law, the Company covenants and agrees that neither it, nor any other Person acting on its behalf, will provide any Purchaser or its agents or counsel with any information regarding the Company that the Company believes constitutes material non-public information regarding the Company or its Subsidiaries without the express written consent of such Purchaser, unless prior thereto such Purchaser shall have executed a written agreement regarding the confidentiality and use of such information. The Company understands and confirms that each Purchaser shall be relying on the foregoing covenant in effecting transactions in securities of the Company.</w:t>
      </w:r>
    </w:p>
    <w:p>
      <w:pPr>
        <w:spacing w:after="0" w:line="187" w:lineRule="exact"/>
        <w:rPr>
          <w:sz w:val="20"/>
          <w:szCs w:val="20"/>
          <w:color w:val="auto"/>
        </w:rPr>
      </w:pPr>
    </w:p>
    <w:p>
      <w:pPr>
        <w:jc w:val="both"/>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shall use the net proceeds from the sale of the Pre-Funded Warrants hereunder for working capital and general corporate purposes and shall not use such proceeds for the redemption of any shares of Common Stock or Common Stock Equivalents.</w:t>
      </w:r>
    </w:p>
    <w:p>
      <w:pPr>
        <w:spacing w:after="0" w:line="162" w:lineRule="exact"/>
        <w:rPr>
          <w:sz w:val="20"/>
          <w:szCs w:val="20"/>
          <w:color w:val="auto"/>
        </w:rPr>
      </w:pPr>
    </w:p>
    <w:p>
      <w:pPr>
        <w:jc w:val="both"/>
        <w:ind w:left="4" w:firstLine="440"/>
        <w:spacing w:after="0" w:line="251"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Indemnification of Purchasers</w:t>
      </w:r>
      <w:r>
        <w:rPr>
          <w:rFonts w:ascii="Times New Roman" w:cs="Times New Roman" w:eastAsia="Times New Roman" w:hAnsi="Times New Roman"/>
          <w:sz w:val="18"/>
          <w:szCs w:val="18"/>
          <w:color w:val="auto"/>
        </w:rPr>
        <w:t xml:space="preserve">. Subject to the provisions of this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the Company will indemnify and hold each Purchaser and its directors, officers, stockholders,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stockholder, agents, members, partners or employees (and any other Persons with a functionally equivalent role of a Person holding such titles notwithstanding a lack of such title or any other title) of such Controlling persons (each, a “</w:t>
      </w:r>
      <w:r>
        <w:rPr>
          <w:rFonts w:ascii="Times New Roman" w:cs="Times New Roman" w:eastAsia="Times New Roman" w:hAnsi="Times New Roman"/>
          <w:sz w:val="18"/>
          <w:szCs w:val="18"/>
          <w:i w:val="1"/>
          <w:iCs w:val="1"/>
          <w:color w:val="auto"/>
        </w:rPr>
        <w:t>Purchaser Party</w:t>
      </w:r>
      <w:r>
        <w:rPr>
          <w:rFonts w:ascii="Times New Roman" w:cs="Times New Roman" w:eastAsia="Times New Roman" w:hAnsi="Times New Roman"/>
          <w:sz w:val="18"/>
          <w:szCs w:val="18"/>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a Purchaser in any capacity, or any of them or their respective Affiliates, by any stockholder of the Company who is not an Affiliate of such Purchaser, with respect to any of the transactions contemplated by the Transaction Documents (unless such action is based upon a breach of such Purchaser’s representations, warranties or covenants under the Transaction Documents or any agreements or understandings such Purchaser may have with any such stockholder or any violations by the Purchaser of state or federal securities laws or any conduct by such Purchaser which constitutes fraud, gross negligence, willful misconduct, bad faith or malfeasance). Promptly after receipt by any Purchaser Party (the “</w:t>
      </w:r>
      <w:r>
        <w:rPr>
          <w:rFonts w:ascii="Times New Roman" w:cs="Times New Roman" w:eastAsia="Times New Roman" w:hAnsi="Times New Roman"/>
          <w:sz w:val="18"/>
          <w:szCs w:val="18"/>
          <w:i w:val="1"/>
          <w:iCs w:val="1"/>
          <w:color w:val="auto"/>
        </w:rPr>
        <w:t>Indemnified Person</w:t>
      </w:r>
      <w:r>
        <w:rPr>
          <w:rFonts w:ascii="Times New Roman" w:cs="Times New Roman" w:eastAsia="Times New Roman" w:hAnsi="Times New Roman"/>
          <w:sz w:val="18"/>
          <w:szCs w:val="18"/>
          <w:color w:val="auto"/>
        </w:rPr>
        <w:t xml:space="preserve">”) of notice of any demand, claim or circumstances which could reasonably be expected to give rise to a claim or the commencement of any action, Proceeding or investigation in respect of which indemnity may be sought pursuant to this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such Indemnified Person shall promptly notify the Company in writing and the Company shall assume the defense thereof, including the employment of counsel reasonably satisfactory to such Indemnified Person, and shall assume the payment of all fees and expenses;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failure of any Indemnified Person to so notify the Company shall not relieve the Company of its obligations hereunder except to the extent that the Company is actually and materially prejudiced by such failure to notify. In any such Proceeding, any Indemnified Person shall have the right to retain its own counsel, but the fees and expenses of such counsel shall be at the expense of such Indemnified Person unless: (i) the Company and the Indemnified Person shall have mutually agreed to the retention of such counsel; (ii) the Company shall have failed promptly to assume the defense of such Proceeding and to employ counsel reasonably satisfactory to such Indemnified Person in such Proceeding; or</w:t>
      </w:r>
    </w:p>
    <w:p>
      <w:pPr>
        <w:spacing w:after="0" w:line="8" w:lineRule="exact"/>
        <w:rPr>
          <w:sz w:val="20"/>
          <w:szCs w:val="20"/>
          <w:color w:val="auto"/>
        </w:rPr>
      </w:pPr>
    </w:p>
    <w:p>
      <w:pPr>
        <w:jc w:val="both"/>
        <w:ind w:left="4" w:right="20" w:hanging="4"/>
        <w:spacing w:after="0" w:line="251" w:lineRule="auto"/>
        <w:tabs>
          <w:tab w:leader="none" w:pos="32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reasonable judgment of counsel to such Indemnified Person, representation of both parties by the same counsel would be inappropriate due to actual or potential differing interests between them;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responsible for the fees and expenses of more than one counsel for all Indemnified Persons. The Company shall not be liable for any settlement of any action, claim or Proceeding effected without its prior written consent, which consent shall not be unreasonably withheld, delayed or conditioned. Without the prior written consent of the Indemnified Person, which consent shall not be unreasonably withheld, delayed or conditioned, the Company shall not effect any settlement of any pending or threatened Proceeding in respect of which any Indemnified Person is or could have been a party and indemnity could have been sought hereunder by such Indemnified Party, unless such settlement includes an unconditional release of such Indemnified Person from all liability arising out of such Proceeding.</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4"/>
          </w:cols>
          <w:pgMar w:left="436" w:top="270" w:right="439" w:bottom="1440" w:gutter="0" w:footer="0" w:header="0"/>
        </w:sectPr>
      </w:pPr>
    </w:p>
    <w:bookmarkStart w:id="30" w:name="page31"/>
    <w:bookmarkEnd w:id="30"/>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4.10 </w:t>
      </w:r>
      <w:r>
        <w:rPr>
          <w:rFonts w:ascii="Times New Roman" w:cs="Times New Roman" w:eastAsia="Times New Roman" w:hAnsi="Times New Roman"/>
          <w:sz w:val="18"/>
          <w:szCs w:val="18"/>
          <w:u w:val="single" w:color="auto"/>
          <w:color w:val="auto"/>
        </w:rPr>
        <w:t>Principal Trading Market Listing</w:t>
      </w:r>
      <w:r>
        <w:rPr>
          <w:rFonts w:ascii="Times New Roman" w:cs="Times New Roman" w:eastAsia="Times New Roman" w:hAnsi="Times New Roman"/>
          <w:sz w:val="18"/>
          <w:szCs w:val="18"/>
          <w:color w:val="auto"/>
        </w:rPr>
        <w:t>. In the time and manner required by the Principal Trading Market, the Company shall prepare and file with such Principal Trading Market an additional shares listing application covering all of the Pre-Funded Warrant Shares.</w:t>
      </w:r>
    </w:p>
    <w:p>
      <w:pPr>
        <w:spacing w:after="0" w:line="162"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Form D; Blue Sky</w:t>
      </w:r>
      <w:r>
        <w:rPr>
          <w:rFonts w:ascii="Times New Roman" w:cs="Times New Roman" w:eastAsia="Times New Roman" w:hAnsi="Times New Roman"/>
          <w:sz w:val="18"/>
          <w:szCs w:val="18"/>
          <w:color w:val="auto"/>
        </w:rPr>
        <w:t>. The Company agrees to timely file a Form D with respect to the Securities as required under Regulation D. The Company, on or before the Closing Date, shall take such action as the Company shall reasonably determine is necessary in order to obtain an exemption from or to qualify the Securities for sale to the Purchasers under applicable securities or “Blue Sky” laws of the states of the United States (or to obtain an exemption from such qualification).</w:t>
      </w:r>
    </w:p>
    <w:p>
      <w:pPr>
        <w:spacing w:after="0" w:line="180" w:lineRule="exact"/>
        <w:rPr>
          <w:sz w:val="20"/>
          <w:szCs w:val="20"/>
          <w:color w:val="auto"/>
        </w:rPr>
      </w:pPr>
    </w:p>
    <w:p>
      <w:pPr>
        <w:jc w:val="both"/>
        <w:ind w:right="20" w:firstLine="440"/>
        <w:spacing w:after="0" w:line="276" w:lineRule="auto"/>
        <w:rPr>
          <w:sz w:val="20"/>
          <w:szCs w:val="20"/>
          <w:color w:val="auto"/>
        </w:rPr>
      </w:pPr>
      <w:r>
        <w:rPr>
          <w:rFonts w:ascii="Times New Roman" w:cs="Times New Roman" w:eastAsia="Times New Roman" w:hAnsi="Times New Roman"/>
          <w:sz w:val="17"/>
          <w:szCs w:val="17"/>
          <w:color w:val="auto"/>
        </w:rPr>
        <w:t xml:space="preserve">4.12 </w:t>
      </w:r>
      <w:r>
        <w:rPr>
          <w:rFonts w:ascii="Times New Roman" w:cs="Times New Roman" w:eastAsia="Times New Roman" w:hAnsi="Times New Roman"/>
          <w:sz w:val="17"/>
          <w:szCs w:val="17"/>
          <w:u w:val="single" w:color="auto"/>
          <w:color w:val="auto"/>
        </w:rPr>
        <w:t>Delivery of Pre-Funded Warrants After Closing</w:t>
      </w:r>
      <w:r>
        <w:rPr>
          <w:rFonts w:ascii="Times New Roman" w:cs="Times New Roman" w:eastAsia="Times New Roman" w:hAnsi="Times New Roman"/>
          <w:sz w:val="17"/>
          <w:szCs w:val="17"/>
          <w:color w:val="auto"/>
        </w:rPr>
        <w:t>. Subject to the satisfaction of each Purchaser’s obligations under the Transaction Documents, the Company shall deliver, or cause to be delivered, physical Pre-Funded Warrants purchased by each Purchaser to such Purchaser within three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Trading Days of the Closing Date.</w:t>
      </w:r>
    </w:p>
    <w:p>
      <w:pPr>
        <w:spacing w:after="0" w:line="207" w:lineRule="exact"/>
        <w:rPr>
          <w:sz w:val="20"/>
          <w:szCs w:val="20"/>
          <w:color w:val="auto"/>
        </w:rPr>
      </w:pPr>
    </w:p>
    <w:p>
      <w:pPr>
        <w:jc w:val="both"/>
        <w:ind w:firstLine="440"/>
        <w:spacing w:after="0" w:line="251"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Short Sales and Confidentiality After the Date Hereof</w:t>
      </w:r>
      <w:r>
        <w:rPr>
          <w:rFonts w:ascii="Times New Roman" w:cs="Times New Roman" w:eastAsia="Times New Roman" w:hAnsi="Times New Roman"/>
          <w:sz w:val="18"/>
          <w:szCs w:val="18"/>
          <w:color w:val="auto"/>
        </w:rPr>
        <w:t xml:space="preserve">. Such Purchaser shall not, and shall cause its Trading Affiliates not to, engage, directly or indirectly, in any transactions in the Company’s securities (including, without limitation, any Short Sales involving the Company’s securities) during the period from the date hereof until the earlier of such time as (i) the transactions contemplated by this Agreement are first publicly announced as required by and described in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and (ii) this Agreement is terminated in full pursuant to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 xml:space="preserve">. Each Purchaser, severally and not jointly with the other Purchasers, covenants that until such time as the transactions contemplated by this Agreement are publicly disclosed by the Company as described in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such Purchaser will maintain the confidentiality of the existence and terms of this transaction and the information included in the Transaction Documents. Notwithstanding the foregoing, no Purchaser makes any representation, warranty or covenant hereby that it will not engage in Short Sales in the securities of the Company after the time that the transactions contemplated by this Agreement are first publicly announced as described in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each Purchaser agrees, severally and not jointly with any Purchasers, that they will not enter into any Net Short Sales (as hereinafter defined) from the period commencing on the Closing Date and ending on the earliest of (x) the effective date of any initial registration statement that may be filed with respect to the Pre-Funded Warrant Shares, (y) the twenty-four (24) month anniversary of the Closing Date and (z) the date that such Purchaser no longer holds any Securities. For purposes of this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i w:val="1"/>
          <w:iCs w:val="1"/>
          <w:color w:val="auto"/>
        </w:rPr>
        <w:t>Net Short Sale</w:t>
      </w:r>
      <w:r>
        <w:rPr>
          <w:rFonts w:ascii="Times New Roman" w:cs="Times New Roman" w:eastAsia="Times New Roman" w:hAnsi="Times New Roman"/>
          <w:sz w:val="18"/>
          <w:szCs w:val="18"/>
          <w:color w:val="auto"/>
        </w:rPr>
        <w:t xml:space="preserve">” by any Purchaser shall mean a sale of shares of Common Stock by such Purchaser that is marked as a short sale and that is made at a time when there is no equivalent offsetting long position in shares of Common Stock held by such Purchaser. For purposes of determining whether there is an equivalent offsetting position in shares of Common Stock held by the Purchaser, Pre-Funded Warrant Shares that have not yet been issued pursuant to the exercise of Pre-Funded Warrants shall be deemed to be held long by the Purchaser, and the amount of shares of Common Stock held in a long position shall be all unexercised Pre-Funded Warrant Shares (ignoring any exercise limitations included therein) issuable to such Purchaser on such date, plus any shares of Common Stock or Common Stock Equivalents otherwise then held by such Purchaser. Notwithstanding the foregoing, in the event that a Purchaser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apply only with respect to the portion of assets managed by the portfolio manager that have knowledge about the financing transaction contemplated by this Agreement. Moreover, notwithstanding the foregoing, in the event that a Purchaser has sold Securities pursuant to Rule 144 prior to the effective date of any initial registration statement and the Company has failed to issue Securities without legends prior to the settlement date for such sale (assuming that such Securities meet the requirements set forth in </w:t>
      </w:r>
      <w:r>
        <w:rPr>
          <w:rFonts w:ascii="Times New Roman" w:cs="Times New Roman" w:eastAsia="Times New Roman" w:hAnsi="Times New Roman"/>
          <w:sz w:val="18"/>
          <w:szCs w:val="18"/>
          <w:u w:val="single" w:color="auto"/>
          <w:color w:val="auto"/>
        </w:rPr>
        <w:t>Section 4.2(c)</w:t>
      </w:r>
      <w:r>
        <w:rPr>
          <w:rFonts w:ascii="Times New Roman" w:cs="Times New Roman" w:eastAsia="Times New Roman" w:hAnsi="Times New Roman"/>
          <w:sz w:val="18"/>
          <w:szCs w:val="18"/>
          <w:color w:val="auto"/>
        </w:rPr>
        <w:t xml:space="preserve"> for the removal of legends), the provisions of this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shall not prohibit the Purchaser from entering into Net Short Sales for the purpose of delivering shares of Common Stock in settlement of such sale. Each Purchaser understands and acknowledges, severally and not jointly with any other Purchaser, that the Commission currently takes the position that covering a short position established prior to effectiveness of a resale registration statement with shares included in such registration statement would be a violation of Section 5 of the Securities Act, as set forth in Item 65, Section 5 under Section A, of the Manual of Publicly Available Telephone Interpretations, dated July 1997, compiled by the Office of Chief Counsel, Division of Corporation Finance.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440" w:top="270" w:right="4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CONDITIONS PRECEDENT TO CLOSING</w:t>
      </w:r>
    </w:p>
    <w:p>
      <w:pPr>
        <w:spacing w:after="0" w:line="207"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Conditions Precedent to the Obligations of the Purchasers to Purchase Securities</w:t>
      </w:r>
      <w:r>
        <w:rPr>
          <w:rFonts w:ascii="Times New Roman" w:cs="Times New Roman" w:eastAsia="Times New Roman" w:hAnsi="Times New Roman"/>
          <w:sz w:val="18"/>
          <w:szCs w:val="18"/>
          <w:color w:val="auto"/>
        </w:rPr>
        <w:t>. The obligation of each Purchaser to acquire Pre-Funded Warrants at the Closing is subject to the fulfillment to such Purchaser’s satisfaction, on or prior to the Closing Date, of each of the following conditions, any of which may be waived by such Purchaser (as to itself only):</w:t>
      </w:r>
    </w:p>
    <w:p>
      <w:pPr>
        <w:spacing w:after="0" w:line="176" w:lineRule="exact"/>
        <w:rPr>
          <w:sz w:val="20"/>
          <w:szCs w:val="20"/>
          <w:color w:val="auto"/>
        </w:rPr>
      </w:pPr>
    </w:p>
    <w:p>
      <w:pPr>
        <w:jc w:val="both"/>
        <w:ind w:firstLine="987"/>
        <w:spacing w:after="0" w:line="261" w:lineRule="auto"/>
        <w:tabs>
          <w:tab w:leader="none" w:pos="124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representations and warranties of the Company contained herein shall be true and correct in all material respects (except for those representations and warranties which are qualified as to materiality or Material Adverse Effect, in which case such representations and warranties shall be true and correct in all respects as so qualified) as of the date hereof and as of the Closing Date, as though made on and as of such date, except for such representations and warranties that speak as of a specific date.</w:t>
      </w:r>
    </w:p>
    <w:p>
      <w:pPr>
        <w:spacing w:after="0" w:line="179" w:lineRule="exact"/>
        <w:rPr>
          <w:rFonts w:ascii="Times New Roman" w:cs="Times New Roman" w:eastAsia="Times New Roman" w:hAnsi="Times New Roman"/>
          <w:sz w:val="18"/>
          <w:szCs w:val="18"/>
          <w:color w:val="auto"/>
        </w:rPr>
      </w:pPr>
    </w:p>
    <w:p>
      <w:pPr>
        <w:ind w:right="20" w:firstLine="987"/>
        <w:spacing w:after="0" w:line="282" w:lineRule="auto"/>
        <w:tabs>
          <w:tab w:leader="none" w:pos="124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w:t>
      </w:r>
      <w:r>
        <w:rPr>
          <w:rFonts w:ascii="Times New Roman" w:cs="Times New Roman" w:eastAsia="Times New Roman" w:hAnsi="Times New Roman"/>
          <w:sz w:val="18"/>
          <w:szCs w:val="18"/>
          <w:color w:val="auto"/>
        </w:rPr>
        <w:t>. The Company shall have performed, satisfied and complied in all material respects with all covenants, agreements and conditions required by the Transaction Documents to be performed, satisfied or complied with by it at or prior to the Closing.</w:t>
      </w:r>
    </w:p>
    <w:p>
      <w:pPr>
        <w:spacing w:after="0" w:line="161" w:lineRule="exact"/>
        <w:rPr>
          <w:rFonts w:ascii="Times New Roman" w:cs="Times New Roman" w:eastAsia="Times New Roman" w:hAnsi="Times New Roman"/>
          <w:sz w:val="18"/>
          <w:szCs w:val="18"/>
          <w:color w:val="auto"/>
        </w:rPr>
      </w:pPr>
    </w:p>
    <w:p>
      <w:pPr>
        <w:jc w:val="both"/>
        <w:ind w:firstLine="987"/>
        <w:spacing w:after="0" w:line="266" w:lineRule="auto"/>
        <w:tabs>
          <w:tab w:leader="none" w:pos="123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w:t>
      </w:r>
      <w:r>
        <w:rPr>
          <w:rFonts w:ascii="Times New Roman" w:cs="Times New Roman" w:eastAsia="Times New Roman" w:hAnsi="Times New Roman"/>
          <w:sz w:val="18"/>
          <w:szCs w:val="18"/>
          <w:color w:val="auto"/>
        </w:rPr>
        <w:t>. No statute, rule, regulation, executive order, decree, ruling or injunction shall have been enacted, entered, promulgated or endorsed by any court or governmental authority of competent jurisdiction that prohibits the consummation of any of the transactions contemplated by the Transaction Documents.</w:t>
      </w:r>
    </w:p>
    <w:p>
      <w:pPr>
        <w:spacing w:after="0" w:line="175" w:lineRule="exact"/>
        <w:rPr>
          <w:rFonts w:ascii="Times New Roman" w:cs="Times New Roman" w:eastAsia="Times New Roman" w:hAnsi="Times New Roman"/>
          <w:sz w:val="18"/>
          <w:szCs w:val="18"/>
          <w:color w:val="auto"/>
        </w:rPr>
      </w:pPr>
    </w:p>
    <w:p>
      <w:pPr>
        <w:jc w:val="both"/>
        <w:ind w:firstLine="987"/>
        <w:spacing w:after="0" w:line="266" w:lineRule="auto"/>
        <w:tabs>
          <w:tab w:leader="none" w:pos="1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The Company shall have obtained in a timely fashion any and all consents, permits, approvals, registrations and waivers necessary for consummation of the purchase and sale of the Securities (including all Required Approvals), all of which shall be and remain so long as necessary in full force and effect.</w:t>
      </w:r>
    </w:p>
    <w:p>
      <w:pPr>
        <w:spacing w:after="0" w:line="175" w:lineRule="exact"/>
        <w:rPr>
          <w:rFonts w:ascii="Times New Roman" w:cs="Times New Roman" w:eastAsia="Times New Roman" w:hAnsi="Times New Roman"/>
          <w:sz w:val="18"/>
          <w:szCs w:val="18"/>
          <w:color w:val="auto"/>
        </w:rPr>
      </w:pPr>
    </w:p>
    <w:p>
      <w:pPr>
        <w:ind w:right="20" w:firstLine="987"/>
        <w:spacing w:after="0" w:line="282" w:lineRule="auto"/>
        <w:tabs>
          <w:tab w:leader="none" w:pos="123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Adverse Changes</w:t>
      </w:r>
      <w:r>
        <w:rPr>
          <w:rFonts w:ascii="Times New Roman" w:cs="Times New Roman" w:eastAsia="Times New Roman" w:hAnsi="Times New Roman"/>
          <w:sz w:val="18"/>
          <w:szCs w:val="18"/>
          <w:color w:val="auto"/>
        </w:rPr>
        <w:t>. Since the date hereof, no event or series of events shall have occurred that has had or would reasonably be expected to have a Material Adverse Effect.</w:t>
      </w:r>
    </w:p>
    <w:p>
      <w:pPr>
        <w:spacing w:after="0" w:line="161" w:lineRule="exact"/>
        <w:rPr>
          <w:rFonts w:ascii="Times New Roman" w:cs="Times New Roman" w:eastAsia="Times New Roman" w:hAnsi="Times New Roman"/>
          <w:sz w:val="18"/>
          <w:szCs w:val="18"/>
          <w:color w:val="auto"/>
        </w:rPr>
      </w:pPr>
    </w:p>
    <w:p>
      <w:pPr>
        <w:jc w:val="both"/>
        <w:ind w:firstLine="987"/>
        <w:spacing w:after="0" w:line="266" w:lineRule="auto"/>
        <w:tabs>
          <w:tab w:leader="none" w:pos="121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Company shall have made all required submissions to The Nasdaq Stock Market LLC regarding the Pre-Funded Warrants and the Pre-Funded Warrant Shares and shall have not received any notice objecting to the listing of the Pre-Funded Warrant Shares from The Nasdaq Stock Market LLC.</w:t>
      </w:r>
    </w:p>
    <w:p>
      <w:pPr>
        <w:spacing w:after="0" w:line="175" w:lineRule="exact"/>
        <w:rPr>
          <w:rFonts w:ascii="Times New Roman" w:cs="Times New Roman" w:eastAsia="Times New Roman" w:hAnsi="Times New Roman"/>
          <w:sz w:val="18"/>
          <w:szCs w:val="18"/>
          <w:color w:val="auto"/>
        </w:rPr>
      </w:pPr>
    </w:p>
    <w:p>
      <w:pPr>
        <w:jc w:val="both"/>
        <w:ind w:right="20" w:firstLine="987"/>
        <w:spacing w:after="0" w:line="261" w:lineRule="auto"/>
        <w:tabs>
          <w:tab w:leader="none" w:pos="1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Suspensions of Trading in Common Stock</w:t>
      </w:r>
      <w:r>
        <w:rPr>
          <w:rFonts w:ascii="Times New Roman" w:cs="Times New Roman" w:eastAsia="Times New Roman" w:hAnsi="Times New Roman"/>
          <w:sz w:val="18"/>
          <w:szCs w:val="18"/>
          <w:color w:val="auto"/>
        </w:rPr>
        <w:t>. The Common Stock shall not have been suspended, as of the Closing Date, by the Commission or the Principal Trading Market from trading on the Principal Trading Market nor shall suspension by the Commission or the Principal Trading Market have been threatened, as of the Closing Date, either (A) in writing by the Commission or the Principal Trading Market or (B) by falling below the minimum listing maintenance requirements of the Principal Trading Market.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440" w:top="270" w:right="439" w:bottom="1440" w:gutter="0" w:footer="0" w:header="0"/>
        </w:sectPr>
      </w:pPr>
    </w:p>
    <w:bookmarkStart w:id="32" w:name="page33"/>
    <w:bookmarkEnd w:id="32"/>
    <w:p>
      <w:pPr>
        <w:ind w:left="1240" w:hanging="253"/>
        <w:spacing w:after="0"/>
        <w:tabs>
          <w:tab w:leader="none" w:pos="1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Deliverables</w:t>
      </w:r>
      <w:r>
        <w:rPr>
          <w:rFonts w:ascii="Times New Roman" w:cs="Times New Roman" w:eastAsia="Times New Roman" w:hAnsi="Times New Roman"/>
          <w:sz w:val="18"/>
          <w:szCs w:val="18"/>
          <w:color w:val="auto"/>
        </w:rPr>
        <w:t xml:space="preserve">. The Company shall have delivered the Company Deliverables in accordance with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987"/>
        <w:spacing w:after="0" w:line="266" w:lineRule="auto"/>
        <w:tabs>
          <w:tab w:leader="none" w:pos="120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xml:space="preserve">. The Company shall have delivered to each Purchaser a certificate, dated as of the Closing Date and signed by its Chief Executive Officer or its Chief Financial Officer, certifying to the fulfillment of the conditions specified in </w:t>
      </w:r>
      <w:r>
        <w:rPr>
          <w:rFonts w:ascii="Times New Roman" w:cs="Times New Roman" w:eastAsia="Times New Roman" w:hAnsi="Times New Roman"/>
          <w:sz w:val="18"/>
          <w:szCs w:val="18"/>
          <w:u w:val="single" w:color="auto"/>
          <w:color w:val="auto"/>
        </w:rPr>
        <w:t>Sections 5.1(a)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in the form attached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shall not have been terminated as to such Purchaser in accordance with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 xml:space="preserve"> herein.</w:t>
      </w:r>
    </w:p>
    <w:p>
      <w:pPr>
        <w:spacing w:after="0" w:line="225"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Conditions Precedent to the Obligations of the Company to sell Securities</w:t>
      </w:r>
      <w:r>
        <w:rPr>
          <w:rFonts w:ascii="Times New Roman" w:cs="Times New Roman" w:eastAsia="Times New Roman" w:hAnsi="Times New Roman"/>
          <w:sz w:val="18"/>
          <w:szCs w:val="18"/>
          <w:color w:val="auto"/>
        </w:rPr>
        <w:t>. The Company’s obligation to sell and issue the Pre-Funded Warrants at the Closing to the Purchasers is subject to the fulfillment to the satisfaction of the Company on or prior to the Closing Date of the following conditions, any of which may be waived by the Company:</w:t>
      </w:r>
    </w:p>
    <w:p>
      <w:pPr>
        <w:spacing w:after="0" w:line="68" w:lineRule="exact"/>
        <w:rPr>
          <w:sz w:val="20"/>
          <w:szCs w:val="20"/>
          <w:color w:val="auto"/>
        </w:rPr>
      </w:pPr>
    </w:p>
    <w:p>
      <w:pPr>
        <w:jc w:val="both"/>
        <w:ind w:right="20" w:firstLine="987"/>
        <w:spacing w:after="0" w:line="261" w:lineRule="auto"/>
        <w:tabs>
          <w:tab w:leader="none" w:pos="12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representations and warranties made by the Purchasers contained herein shall be true and correct in all material respects (except for those representations and warranties which are qualified as to materiality, in which case such representations and warranties shall be true and correct in all respects as so qualified) as of the date hereof, and as of the Closing Date as though made on and as of such date, except for representations and warranties that speak as of a specific date.</w:t>
      </w:r>
    </w:p>
    <w:p>
      <w:pPr>
        <w:spacing w:after="0" w:line="179" w:lineRule="exact"/>
        <w:rPr>
          <w:rFonts w:ascii="Times New Roman" w:cs="Times New Roman" w:eastAsia="Times New Roman" w:hAnsi="Times New Roman"/>
          <w:sz w:val="18"/>
          <w:szCs w:val="18"/>
          <w:color w:val="auto"/>
        </w:rPr>
      </w:pPr>
    </w:p>
    <w:p>
      <w:pPr>
        <w:ind w:right="20" w:firstLine="987"/>
        <w:spacing w:after="0" w:line="282" w:lineRule="auto"/>
        <w:tabs>
          <w:tab w:leader="none" w:pos="124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w:t>
      </w:r>
      <w:r>
        <w:rPr>
          <w:rFonts w:ascii="Times New Roman" w:cs="Times New Roman" w:eastAsia="Times New Roman" w:hAnsi="Times New Roman"/>
          <w:sz w:val="18"/>
          <w:szCs w:val="18"/>
          <w:color w:val="auto"/>
        </w:rPr>
        <w:t>. Such Purchaser shall have performed, satisfied and complied in all material respects with all covenants, agreements and conditions required by the Transaction Documents to be performed, satisfied or complied with by such Purchaser at or prior to the Closing Date.</w:t>
      </w:r>
    </w:p>
    <w:p>
      <w:pPr>
        <w:spacing w:after="0" w:line="161" w:lineRule="exact"/>
        <w:rPr>
          <w:rFonts w:ascii="Times New Roman" w:cs="Times New Roman" w:eastAsia="Times New Roman" w:hAnsi="Times New Roman"/>
          <w:sz w:val="18"/>
          <w:szCs w:val="18"/>
          <w:color w:val="auto"/>
        </w:rPr>
      </w:pPr>
    </w:p>
    <w:p>
      <w:pPr>
        <w:jc w:val="both"/>
        <w:ind w:firstLine="987"/>
        <w:spacing w:after="0" w:line="266" w:lineRule="auto"/>
        <w:tabs>
          <w:tab w:leader="none" w:pos="12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w:t>
      </w:r>
      <w:r>
        <w:rPr>
          <w:rFonts w:ascii="Times New Roman" w:cs="Times New Roman" w:eastAsia="Times New Roman" w:hAnsi="Times New Roman"/>
          <w:sz w:val="18"/>
          <w:szCs w:val="18"/>
          <w:color w:val="auto"/>
        </w:rPr>
        <w:t>. No statute, rule, regulation, executive order, decree, ruling or injunction shall have been enacted, entered, promulgated or endorsed by any court or governmental authority of competent jurisdiction that prohibits the consummation of any of the transactions contemplated by the Transaction Documents.</w:t>
      </w:r>
    </w:p>
    <w:p>
      <w:pPr>
        <w:spacing w:after="0" w:line="175" w:lineRule="exact"/>
        <w:rPr>
          <w:rFonts w:ascii="Times New Roman" w:cs="Times New Roman" w:eastAsia="Times New Roman" w:hAnsi="Times New Roman"/>
          <w:sz w:val="18"/>
          <w:szCs w:val="18"/>
          <w:color w:val="auto"/>
        </w:rPr>
      </w:pPr>
    </w:p>
    <w:p>
      <w:pPr>
        <w:jc w:val="both"/>
        <w:ind w:firstLine="987"/>
        <w:spacing w:after="0" w:line="266" w:lineRule="auto"/>
        <w:tabs>
          <w:tab w:leader="none" w:pos="1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The Company shall have obtained in a timely fashion any and all consents, permits, approvals, registrations and waivers necessary for consummation of the purchase and sale of the Securities (including all Required Approvals), all of which shall be and remain so long as necessary in full force and effect.</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Purchasers Deliverables</w:t>
      </w:r>
      <w:r>
        <w:rPr>
          <w:rFonts w:ascii="Times New Roman" w:cs="Times New Roman" w:eastAsia="Times New Roman" w:hAnsi="Times New Roman"/>
          <w:sz w:val="18"/>
          <w:szCs w:val="18"/>
          <w:color w:val="auto"/>
        </w:rPr>
        <w:t xml:space="preserve">. Such Purchaser shall have delivered its Purchaser Deliverables in accordance with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987"/>
        <w:spacing w:after="0" w:line="266" w:lineRule="auto"/>
        <w:tabs>
          <w:tab w:leader="none" w:pos="121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Company shall have made all required submissions to The Nasdaq Stock Market LLC regarding the Pre-Funded Warrants and the Pre-Funded Warrant Shares and shall have not received any notice objecting to the listing of the Pre-Funded Warrant Shares from The Nasdaq Stock Market LLC.</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shall not have been terminated as to such Purchaser in accordance with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 xml:space="preserve"> herein.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20"/>
          </w:cols>
          <w:pgMar w:left="440" w:top="270" w:right="4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jc w:val="both"/>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xml:space="preserve">. The Company and the Purchasers shall each pay the fees and expenses of their respective advisers, counsel, accountants and other experts, if any, and all other expenses incurred by such party in connection with the negotiation, preparation, execution, delivery and performance of this Agreement. Notwithstanding the foregoing, the Company shall pay the reasonable fees and expenses of Mintz, Levin, Cohn, Ferris, Glovsky and Popeo, P.C., counsel for EcoR1 Capital, LLC, in an amount not to exceed $50,000 in the aggregate. The Company shall pay all Transfer Agent fees, stamp taxes and other taxes and duties levied in connection with the sale and issuance of the Securities to the Purchasers;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pursuant to Section 6 of the Pre-Funded Warrants, the Company shall not be required to pay any tax that may be payable in respect of any transfer involved in the registration of Pre-Funded Warrant Shares or Pre-Funded Warrants in a name other than that of the Purchaser or an Affiliate thereof.</w:t>
      </w:r>
    </w:p>
    <w:p>
      <w:pPr>
        <w:spacing w:after="0" w:line="189"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contain the entire understanding of the parties with respect to the subject matter hereof and supersede all prior agreements, understandings, discussions and representations, oral or written, with respect to such matters, which the parties acknowledge have been merged into such documents, exhibits and schedules. At or after the Closing, and without further consideration, the Company and the Purchasers will execute and deliver to the other such further documents as may be reasonably requested in order to give practical effect to the intention of the parties under the Transaction Documents.</w:t>
      </w:r>
    </w:p>
    <w:p>
      <w:pPr>
        <w:spacing w:after="0" w:line="183"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date of transmission, if such notice or communication is delivered via e-mail or facsimile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 sender receives a machine-generated confirmation of successful transmission) at the e-mail address or facsimile number specified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prior to 5:00 P.M., New York City time, on a Trading Day, (b) the next Trading Day after the date of transmission, if such notice or communication is delivered via e-mail or facsimile at the e-mail address or facsimile number specified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on a day that is not a Trading Day or later than 5:00 P.M., New York City time, on any Trading Day, (c) the Trading Day following the date of mailing, if sent by U.S. nationally recognized overnight courier service with next day delivery specified, and (d) upon actual receipt by the party to whom such notice is required to be given. The address for such notices and communications shall be as follows:</w:t>
      </w:r>
    </w:p>
    <w:p>
      <w:pPr>
        <w:sectPr>
          <w:pgSz w:w="11900" w:h="16838" w:orient="portrait"/>
          <w:cols w:equalWidth="0" w:num="1">
            <w:col w:w="11020"/>
          </w:cols>
          <w:pgMar w:left="440" w:top="270" w:right="439" w:bottom="1440" w:gutter="0" w:footer="0" w:header="0"/>
        </w:sectPr>
      </w:pPr>
    </w:p>
    <w:p>
      <w:pPr>
        <w:spacing w:after="0" w:line="21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If to the Company: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Zymeworks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800 — 114 East 4th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Vancouver, British Columbia, Canada, V5T 1G4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Daniel Dex, Senior Vice President, Corporate Secretary and General Counsel</w:t>
      </w:r>
    </w:p>
    <w:p>
      <w:pPr>
        <w:spacing w:after="0" w:line="110" w:lineRule="exact"/>
        <w:rPr>
          <w:sz w:val="20"/>
          <w:szCs w:val="20"/>
          <w:color w:val="auto"/>
        </w:rPr>
      </w:pPr>
    </w:p>
    <w:p>
      <w:pPr>
        <w:sectPr>
          <w:pgSz w:w="11900" w:h="16838" w:orient="portrait"/>
          <w:cols w:equalWidth="0" w:num="2">
            <w:col w:w="1820" w:space="500"/>
            <w:col w:w="8700"/>
          </w:cols>
          <w:pgMar w:left="440" w:top="270" w:right="43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Wilson Sonsini Goodrich &amp; Rosati, Professional Corporation</w:t>
      </w:r>
    </w:p>
    <w:p>
      <w:pPr>
        <w:spacing w:after="0" w:line="27"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9"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Palo Alto, CA 94304</w:t>
      </w:r>
    </w:p>
    <w:p>
      <w:pPr>
        <w:spacing w:after="0" w:line="9"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Telephone No.: (206) 883-2500</w:t>
      </w:r>
    </w:p>
    <w:p>
      <w:pPr>
        <w:spacing w:after="0" w:line="9"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Facsimile No.: (206) 883-2699</w:t>
      </w:r>
    </w:p>
    <w:p>
      <w:pPr>
        <w:spacing w:after="0" w:line="9"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Attention: Tony Jeffries and Bryan D. King</w:t>
      </w:r>
    </w:p>
    <w:p>
      <w:pPr>
        <w:spacing w:after="0" w:line="99" w:lineRule="exact"/>
        <w:rPr>
          <w:sz w:val="20"/>
          <w:szCs w:val="20"/>
          <w:color w:val="auto"/>
        </w:rPr>
      </w:pPr>
    </w:p>
    <w:p>
      <w:pPr>
        <w:ind w:left="460"/>
        <w:spacing w:after="0"/>
        <w:tabs>
          <w:tab w:leader="none" w:pos="2300" w:val="left"/>
        </w:tabs>
        <w:rPr>
          <w:sz w:val="20"/>
          <w:szCs w:val="20"/>
          <w:color w:val="auto"/>
        </w:rPr>
      </w:pPr>
      <w:r>
        <w:rPr>
          <w:rFonts w:ascii="Times New Roman" w:cs="Times New Roman" w:eastAsia="Times New Roman" w:hAnsi="Times New Roman"/>
          <w:sz w:val="18"/>
          <w:szCs w:val="18"/>
          <w:color w:val="auto"/>
        </w:rPr>
        <w:t>If to a Purchaser:</w:t>
      </w:r>
      <w:r>
        <w:rPr>
          <w:sz w:val="20"/>
          <w:szCs w:val="20"/>
          <w:color w:val="auto"/>
        </w:rPr>
        <w:tab/>
      </w:r>
      <w:r>
        <w:rPr>
          <w:rFonts w:ascii="Times New Roman" w:cs="Times New Roman" w:eastAsia="Times New Roman" w:hAnsi="Times New Roman"/>
          <w:sz w:val="17"/>
          <w:szCs w:val="17"/>
          <w:color w:val="auto"/>
        </w:rPr>
        <w:t>To the address set forth under such Purchaser’s name on the signature page 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such other address as may be designated in writing hereafter, in the same manner, by such Person.</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0"/>
          </w:cols>
          <w:pgMar w:left="440" w:top="270" w:right="439" w:bottom="1440" w:gutter="0" w:footer="0" w:header="0"/>
          <w:type w:val="continuous"/>
        </w:sectPr>
      </w:pPr>
    </w:p>
    <w:bookmarkStart w:id="34" w:name="page35"/>
    <w:bookmarkEnd w:id="34"/>
    <w:p>
      <w:pPr>
        <w:jc w:val="both"/>
        <w:ind w:right="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6.4 </w:t>
      </w:r>
      <w:r>
        <w:rPr>
          <w:rFonts w:ascii="Times New Roman" w:cs="Times New Roman" w:eastAsia="Times New Roman" w:hAnsi="Times New Roman"/>
          <w:sz w:val="18"/>
          <w:szCs w:val="18"/>
          <w:u w:val="single" w:color="auto"/>
          <w:color w:val="auto"/>
        </w:rPr>
        <w:t>Amendments; Waivers; No Additional Consideration</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the Purchasers of at least a majority in interest of the Securities then held by Purchasers, or, in the case of a waiver, by the party against whom enforcement of any such waiver is sought.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either party to exercise any right hereunder in any manner impair the exercise of any such right. No consideration shall be offered or paid to any Purchaser to amend or consent to a waiver or modification of any provision of any Transaction Document unless the same consideration is also offered to all Purchasers who then hold Securities.</w:t>
      </w:r>
    </w:p>
    <w:p>
      <w:pPr>
        <w:spacing w:after="0" w:line="192"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 The language used in this Agreement will be deemed to be the language chosen by the parties to express their mutual intent, and no rules of strict construction will be applied against any party. This Agreement shall be construed as if drafted jointly by the parties, and no presumption or burden of proof shall arise favoring or disfavoring any party by virtue of the authorship of any provisions of this Agreement or any of the Transaction Documents.</w:t>
      </w:r>
    </w:p>
    <w:p>
      <w:pPr>
        <w:spacing w:after="0" w:line="183" w:lineRule="exact"/>
        <w:rPr>
          <w:sz w:val="20"/>
          <w:szCs w:val="20"/>
          <w:color w:val="auto"/>
        </w:rPr>
      </w:pPr>
    </w:p>
    <w:p>
      <w:pPr>
        <w:jc w:val="both"/>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The provisions of this Agreement shall inure to the benefit of and be binding upon the parties and their successors and permitted assigns. Except in the case of a Fundamental Transaction as contemplated in the Pre-Funded Warrants, this Agreement, or any rights or obligations hereunder, may not be assigned by the Company without the prior written consent of each Purchaser. Any Purchaser may assign its rights hereunder in whole or in part to any Person to whom such Purchaser assigns or transfers any Securities in compliance with the Transaction Documents and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transferee shall agree in writing to be bound, with respect to the transferred Securities, by the terms and conditions of this the Transaction Documents that apply to the “Purchasers”.</w:t>
      </w:r>
    </w:p>
    <w:p>
      <w:pPr>
        <w:spacing w:after="0" w:line="187"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xml:space="preserve">. This Agreement is intended for the benefit of the parties hereto and their respective successors and permitted assigns and is not for the benefit of, nor may any provision hereof be enforced by, any other Person, except each Purchaser Party is an intended third party beneficiary of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All questions concerning the construction, validity, enforcement and interpretation of this Agreement shall be governed by and construed and enforced in accordance with the internal laws of the State of New York, without regard to the principles of conflicts of law thereof. Each party agrees that all Proceedings concerning the interpretations, enforcement and defense of the transactions contemplated by this Agreement and any other Transaction Documents (whether brought against a party hereto or its respective Affiliates, employees or agents) shall be commenced exclusively in the New York Courts. Each party hereto hereby irrevocably submits to the exclusive jurisdiction of the New York Courts for the adjudication of any dispute hereunder or in connection herewith or with any transaction contemplated hereby or discussed herein (including with respect to the enforcement of any of the Transaction Documents), and hereby irrevocably waives, and agrees not to assert in any Proceeding, any claim that it is not personally subject to the jurisdiction of any such New York Court, or that such Proceeding has been commenced in an improper or inconvenient forum. Each party hereto hereby irrevocably waives personal service of process and consents to process being served in any such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 </w:t>
      </w:r>
      <w:r>
        <w:rPr>
          <w:rFonts w:ascii="Times New Roman" w:cs="Times New Roman" w:eastAsia="Times New Roman" w:hAnsi="Times New Roman"/>
          <w:sz w:val="18"/>
          <w:szCs w:val="18"/>
          <w:b w:val="1"/>
          <w:bCs w:val="1"/>
          <w:color w:val="auto"/>
        </w:rPr>
        <w:t>EACH PARTY HERETO HEREBY</w:t>
      </w:r>
    </w:p>
    <w:p>
      <w:pPr>
        <w:spacing w:after="0" w:line="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IRREVOCABLY WAIVES, TO THE FULLEST EXTENT PERMITTED BY APPLICABLE LAW, ANY AND ALL RIGHT TO TRIAL BY JURY IN ANY LEGAL PROCEEDING ARISING OUT OF OR RELATING TO THIS AGREEMENT OR THE TRANSACTIONS CONTEMPLATED HEREBY.</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0"/>
          </w:cols>
          <w:pgMar w:left="440" w:top="270" w:right="439" w:bottom="1440" w:gutter="0" w:footer="0" w:header="0"/>
        </w:sectPr>
      </w:pPr>
    </w:p>
    <w:bookmarkStart w:id="35" w:name="page36"/>
    <w:bookmarkEnd w:id="35"/>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6.9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Subject to applicable statute of limitations, the representations, warranties, agreements and covenants contained herein shall survive the Closing and the delivery of the Securities.</w:t>
      </w:r>
    </w:p>
    <w:p>
      <w:pPr>
        <w:spacing w:after="0" w:line="162" w:lineRule="exact"/>
        <w:rPr>
          <w:sz w:val="20"/>
          <w:szCs w:val="20"/>
          <w:color w:val="auto"/>
        </w:rPr>
      </w:pPr>
    </w:p>
    <w:p>
      <w:pPr>
        <w:jc w:val="both"/>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signature page were an original thereof.</w:t>
      </w:r>
    </w:p>
    <w:p>
      <w:pPr>
        <w:spacing w:after="0" w:line="183"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held to be invalid or unenforceable in any respect, the validity and enforceability of the remaining terms and provisions of this Agreement shall not in any way be affected or impaired thereby and the parties will attempt to agree upon a valid and enforceable provision that is a reasonable substitute therefor, and upon so agreeing, shall incorporate such substitute provision in this Agreement.</w:t>
      </w:r>
    </w:p>
    <w:p>
      <w:pPr>
        <w:spacing w:after="0" w:line="176"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Notwithstanding anything to the contrary contained in (and without limiting any similar provisions of) the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unless such rescission or withdrawal would materially prejudice the Company.</w:t>
      </w:r>
    </w:p>
    <w:p>
      <w:pPr>
        <w:spacing w:after="0" w:line="183" w:lineRule="exact"/>
        <w:rPr>
          <w:sz w:val="20"/>
          <w:szCs w:val="20"/>
          <w:color w:val="auto"/>
        </w:rPr>
      </w:pPr>
    </w:p>
    <w:p>
      <w:pPr>
        <w:jc w:val="both"/>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Replacement of Securities</w:t>
      </w:r>
      <w:r>
        <w:rPr>
          <w:rFonts w:ascii="Times New Roman" w:cs="Times New Roman" w:eastAsia="Times New Roman" w:hAnsi="Times New Roman"/>
          <w:sz w:val="18"/>
          <w:szCs w:val="18"/>
          <w:color w:val="auto"/>
        </w:rPr>
        <w:t>. If any certificate or instrument evidencing any Securities is mutilated, lost, stolen or destroyed, the Company shall issue or cause to be issued in exchange and substitution for and upon cancellation thereof, or in lieu of and substitution therefor, a new certificate or instrument, but only upon receipt of evidence reasonably satisfactory to the Company and the Transfer Agent of such loss, theft or destruction and the execution by the holder thereof of a customary lost certificate affidavit of that fact and an agreement to indemnify and hold harmless the Company and the Transfer Agent for any losses in connection therewith or, if required by the Transfer Agent, a bond in such form and amount as is required by the Transfer Agent. The applicants for a new certificate or instrument under such circumstances shall also pay any reasonable third-party costs associated with the issuance of such replacement Securities. If a replacement certificate or instrument evidencing any Securities is requested due to a mutilation thereof, the Company may require delivery of such mutilated certificate or instrument as a condition precedent to any issuance of a replacement.</w:t>
      </w:r>
    </w:p>
    <w:p>
      <w:pPr>
        <w:spacing w:after="0" w:line="192"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Except as expressly set forth in the Transaction Documents, the parties agree that monetary damages may not be adequate compensation for any loss incurred by reason of any breach of obligations described in the foregoing sentence and hereby agree to waive in any action for specific performance of any such obligation (other than in connection with any action for a temporary restraining order) the defense that a remedy at law would be adequate.</w:t>
      </w:r>
    </w:p>
    <w:p>
      <w:pPr>
        <w:spacing w:after="0" w:line="183"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20"/>
          </w:cols>
          <w:pgMar w:left="440" w:top="270" w:right="439" w:bottom="1440" w:gutter="0" w:footer="0" w:header="0"/>
        </w:sectPr>
      </w:pPr>
    </w:p>
    <w:bookmarkStart w:id="36" w:name="page37"/>
    <w:bookmarkEnd w:id="36"/>
    <w:p>
      <w:pPr>
        <w:jc w:val="both"/>
        <w:ind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6.16 </w:t>
      </w:r>
      <w:r>
        <w:rPr>
          <w:rFonts w:ascii="Times New Roman" w:cs="Times New Roman" w:eastAsia="Times New Roman" w:hAnsi="Times New Roman"/>
          <w:sz w:val="18"/>
          <w:szCs w:val="18"/>
          <w:u w:val="single" w:color="auto"/>
          <w:color w:val="auto"/>
        </w:rPr>
        <w:t>Adjustments in Share Numbers and Prices</w:t>
      </w:r>
      <w:r>
        <w:rPr>
          <w:rFonts w:ascii="Times New Roman" w:cs="Times New Roman" w:eastAsia="Times New Roman" w:hAnsi="Times New Roman"/>
          <w:sz w:val="18"/>
          <w:szCs w:val="18"/>
          <w:color w:val="auto"/>
        </w:rPr>
        <w:t>. In the event of any share split, subdivision, dividend or distribution to all stockholders of the Company payable in shares of Common Stock (or other securities or rights convertible into, or entitling the holder thereof to receive directly or indirectly shares of Common Stock), combination or other similar recapitalization or event occurring after the date hereof and prior to the Closing, each reference in any Transaction Document to a number of shares or a price per share shall be deemed to be amended to appropriately account for such event.</w:t>
      </w:r>
    </w:p>
    <w:p>
      <w:pPr>
        <w:spacing w:after="0" w:line="183" w:lineRule="exact"/>
        <w:rPr>
          <w:sz w:val="20"/>
          <w:szCs w:val="20"/>
          <w:color w:val="auto"/>
        </w:rPr>
      </w:pPr>
    </w:p>
    <w:p>
      <w:pPr>
        <w:jc w:val="both"/>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6.17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of the obligations of any other Purchaser under any Transaction Document. The decision of each Purchaser to purchase Securities pursuant to the Transaction Documents has been made by such Purchaser independently of any other Purchaser and independently of any information, materials, statements or opinions as to the business, affairs, operations, assets, properties, liabilities, results of operations, condition (financial or otherwise) or prospects of the Company or any Subsidiary which may have been made or given by any other Purchaser or by any agent or employee of any other Purchaser, and no Purchaser and any of its agents or employees shall have any liability to any other Purchaser (or any other Person) relating to or arising from any such information, materials, statement or opinions. Nothing contained herein or in any Transaction Document, and no action taken by any Purchaser pursuant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acknowledges that no other Purchaser has acted as agent for such Purchaser in connection with making its investment hereunder and that no Purchaser will be acting as agent of such Purchaser in connection with monitoring its investment in the Securities or enforcing its rights under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Each Purchaser also acknowledges that Wilson Sonsini Goodrich &amp; Rosati, P.C. has rendered legal advice to the Company and not such Purchaser. The Company has elected to provide all Purchasers with the same terms and Transaction Documents for the convenience of the Company and not because it was required or requested to do so by any Purchaser.</w:t>
      </w:r>
    </w:p>
    <w:p>
      <w:pPr>
        <w:spacing w:after="0" w:line="192" w:lineRule="exact"/>
        <w:rPr>
          <w:sz w:val="20"/>
          <w:szCs w:val="20"/>
          <w:color w:val="auto"/>
        </w:rPr>
      </w:pPr>
    </w:p>
    <w:p>
      <w:pPr>
        <w:jc w:val="both"/>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6.18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may be terminated and the sale and purchase of the Pre-Funded Warrants abandoned at any time prior to the Closing by either the Company or any Purchaser (with respect to itself only) upon written notice to the other, if the Closing has not been consummated on or prior to 5:00 P.M., New York City time, on the Outside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 xml:space="preserve"> shall not be available to any Person whose failure to comply with its obligations under this Agreement has been the cause of or resulted in the failure of the Closing to occur on or before such time. Nothing in this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 xml:space="preserve"> shall be deemed to release any party from any liability for any breach by such party of the terms and provisions of this Agreement or the other Transaction Documents or to impair the right of any party to compel specific performance by any other party of its obligations under this Agreement or the other Transaction Documents. In the event of a termination pursuant to this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 xml:space="preserve">, the Company shall promptly notify all non-terminating Purchasers. Upon a termination in accordance with this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 the Company and the terminating Purchaser(s) shall not have any further obligation or liability (including arising from such termination) to the other, and no Purchaser will have any liability to any other Purchaser under the Transaction Documents as a result therefrom.</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0"/>
          </w:cols>
          <w:pgMar w:left="440" w:top="270" w:right="4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[REMAINDER OF PAGE INTENTIONALLY LEFT BLANK]</w:t>
      </w:r>
    </w:p>
    <w:p>
      <w:pPr>
        <w:sectPr>
          <w:pgSz w:w="11900" w:h="16838" w:orient="portrait"/>
          <w:cols w:equalWidth="0" w:num="1">
            <w:col w:w="9019"/>
          </w:cols>
          <w:pgMar w:left="1440" w:top="270" w:right="1440"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9019"/>
          </w:cols>
          <w:pgMar w:left="1440" w:top="270" w:right="1440" w:bottom="1440" w:gutter="0" w:footer="0" w:header="0"/>
          <w:type w:val="continuous"/>
        </w:sectPr>
      </w:pPr>
    </w:p>
    <w:bookmarkStart w:id="38" w:name="page39"/>
    <w:bookmarkEnd w:id="38"/>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Securities Purchase Agreement to be duly executed by their respective authorized signatories as of the date first indicated above.</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ZYMEWORKS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Kenneth Galbraith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17145</wp:posOffset>
            </wp:positionV>
            <wp:extent cx="26060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Kenneth Galbraith</w:t>
      </w:r>
    </w:p>
    <w:p>
      <w:pPr>
        <w:spacing w:after="0" w:line="23" w:lineRule="exact"/>
        <w:rPr>
          <w:sz w:val="20"/>
          <w:szCs w:val="20"/>
          <w:color w:val="auto"/>
        </w:rPr>
      </w:pPr>
    </w:p>
    <w:p>
      <w:pPr>
        <w:jc w:val="both"/>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Chair of the Board of Directors and Chief</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Securities Purchase Agreement]</w:t>
      </w:r>
    </w:p>
    <w:p>
      <w:pPr>
        <w:sectPr>
          <w:pgSz w:w="11900" w:h="16838" w:orient="portrait"/>
          <w:cols w:equalWidth="0" w:num="1">
            <w:col w:w="11000"/>
          </w:cols>
          <w:pgMar w:left="440" w:top="270" w:right="459" w:bottom="1440" w:gutter="0" w:footer="0" w:header="0"/>
        </w:sectPr>
      </w:pPr>
    </w:p>
    <w:bookmarkStart w:id="39" w:name="page40"/>
    <w:bookmarkEnd w:id="39"/>
    <w:p>
      <w:pPr>
        <w:ind w:left="6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 OF PURCHASER:</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EcoR1 Capital Fund, L.P.</w:t>
      </w:r>
    </w:p>
    <w:p>
      <w:pPr>
        <w:spacing w:after="0" w:line="229" w:lineRule="exact"/>
        <w:rPr>
          <w:sz w:val="20"/>
          <w:szCs w:val="20"/>
          <w:color w:val="auto"/>
        </w:rPr>
      </w:pPr>
    </w:p>
    <w:p>
      <w:pPr>
        <w:jc w:val="right"/>
        <w:ind w:right="1180"/>
        <w:spacing w:after="0"/>
        <w:rPr>
          <w:sz w:val="20"/>
          <w:szCs w:val="20"/>
          <w:color w:val="auto"/>
        </w:rPr>
      </w:pPr>
      <w:r>
        <w:rPr>
          <w:rFonts w:ascii="Times New Roman" w:cs="Times New Roman" w:eastAsia="Times New Roman" w:hAnsi="Times New Roman"/>
          <w:sz w:val="18"/>
          <w:szCs w:val="18"/>
          <w:color w:val="auto"/>
        </w:rPr>
        <w:t>By: EcoR1 Capital, LLC, its General Partner</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Oleg Nodelman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Oleg Nodelman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Manager</w:t>
            </w:r>
          </w:p>
        </w:tc>
      </w:tr>
    </w:tbl>
    <w:p>
      <w:pPr>
        <w:ind w:left="6620"/>
        <w:spacing w:after="0"/>
        <w:rPr>
          <w:sz w:val="20"/>
          <w:szCs w:val="20"/>
          <w:color w:val="auto"/>
        </w:rPr>
      </w:pPr>
      <w:r>
        <w:rPr>
          <w:rFonts w:ascii="Times New Roman" w:cs="Times New Roman" w:eastAsia="Times New Roman" w:hAnsi="Times New Roman"/>
          <w:sz w:val="18"/>
          <w:szCs w:val="18"/>
          <w:color w:val="auto"/>
        </w:rPr>
        <w:t>Tax ID No.: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Purchase of Pre-Funded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Pre-Funded Warrant Subscription Amount: $2,634,993.17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Pre-Funded Warrant Purchase Price: $9.8299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Underlying Pre-Funded Warrant Shares Subject to Pre-Funded Warrant to be Acquired: 268,059</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Address for Notice:</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357 Tehama Street, Floor 3</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San Francisco, CA 94103</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5038090</wp:posOffset>
            </wp:positionH>
            <wp:positionV relativeFrom="paragraph">
              <wp:posOffset>14605</wp:posOffset>
            </wp:positionV>
            <wp:extent cx="19545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Facsimile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5038090</wp:posOffset>
            </wp:positionH>
            <wp:positionV relativeFrom="paragraph">
              <wp:posOffset>14605</wp:posOffset>
            </wp:positionV>
            <wp:extent cx="19545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5038090</wp:posOffset>
            </wp:positionH>
            <wp:positionV relativeFrom="paragraph">
              <wp:posOffset>14605</wp:posOffset>
            </wp:positionV>
            <wp:extent cx="19545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5038090</wp:posOffset>
            </wp:positionH>
            <wp:positionV relativeFrom="paragraph">
              <wp:posOffset>14605</wp:posOffset>
            </wp:positionV>
            <wp:extent cx="19545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Delivery Instructions: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different than above)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17145</wp:posOffset>
            </wp:positionV>
            <wp:extent cx="19284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14605</wp:posOffset>
            </wp:positionV>
            <wp:extent cx="19284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2849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City/State/Zip: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14605</wp:posOffset>
            </wp:positionV>
            <wp:extent cx="19284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2849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22860</wp:posOffset>
            </wp:positionV>
            <wp:extent cx="19284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928495" cy="825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-121920</wp:posOffset>
            </wp:positionV>
            <wp:extent cx="192849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Securities Purchase Agreement]</w:t>
      </w:r>
    </w:p>
    <w:p>
      <w:pPr>
        <w:sectPr>
          <w:pgSz w:w="11900" w:h="16838" w:orient="portrait"/>
          <w:cols w:equalWidth="0" w:num="1">
            <w:col w:w="11020"/>
          </w:cols>
          <w:pgMar w:left="440" w:top="270" w:right="439" w:bottom="1440" w:gutter="0" w:footer="0" w:header="0"/>
        </w:sectPr>
      </w:pPr>
    </w:p>
    <w:bookmarkStart w:id="40" w:name="page41"/>
    <w:bookmarkEnd w:id="40"/>
    <w:p>
      <w:pPr>
        <w:ind w:left="6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 OF PURCHASER:</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EcoR1 Capital Fund Qualified, L.P.</w:t>
      </w:r>
    </w:p>
    <w:p>
      <w:pPr>
        <w:spacing w:after="0" w:line="229" w:lineRule="exact"/>
        <w:rPr>
          <w:sz w:val="20"/>
          <w:szCs w:val="20"/>
          <w:color w:val="auto"/>
        </w:rPr>
      </w:pPr>
    </w:p>
    <w:p>
      <w:pPr>
        <w:jc w:val="right"/>
        <w:ind w:right="1180"/>
        <w:spacing w:after="0"/>
        <w:rPr>
          <w:sz w:val="20"/>
          <w:szCs w:val="20"/>
          <w:color w:val="auto"/>
        </w:rPr>
      </w:pPr>
      <w:r>
        <w:rPr>
          <w:rFonts w:ascii="Times New Roman" w:cs="Times New Roman" w:eastAsia="Times New Roman" w:hAnsi="Times New Roman"/>
          <w:sz w:val="18"/>
          <w:szCs w:val="18"/>
          <w:color w:val="auto"/>
        </w:rPr>
        <w:t>By: EcoR1 Capital, LLC, its General Partner</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Oleg Nodelman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Oleg Nodelman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Manager</w:t>
            </w:r>
          </w:p>
        </w:tc>
      </w:tr>
    </w:tbl>
    <w:p>
      <w:pPr>
        <w:ind w:left="6620"/>
        <w:spacing w:after="0"/>
        <w:rPr>
          <w:sz w:val="20"/>
          <w:szCs w:val="20"/>
          <w:color w:val="auto"/>
        </w:rPr>
      </w:pPr>
      <w:r>
        <w:rPr>
          <w:rFonts w:ascii="Times New Roman" w:cs="Times New Roman" w:eastAsia="Times New Roman" w:hAnsi="Times New Roman"/>
          <w:sz w:val="18"/>
          <w:szCs w:val="18"/>
          <w:color w:val="auto"/>
        </w:rPr>
        <w:t>Tax ID No.: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Purchase of Pre-Funded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Pre-Funded Warrant Subscription Amount: $47,364,999.62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Pre-Funded Warrant Purchase Price: $9.8299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Underlying Pre-Funded Warrant Shares Subject to Pre-Funded Warrant to be Acquired: 4,818,462</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Address for Notice:</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357 Tehama Street, Floor 3</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San Francisco, CA 94103</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5038090</wp:posOffset>
            </wp:positionH>
            <wp:positionV relativeFrom="paragraph">
              <wp:posOffset>14605</wp:posOffset>
            </wp:positionV>
            <wp:extent cx="19545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Facsimile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5038090</wp:posOffset>
            </wp:positionH>
            <wp:positionV relativeFrom="paragraph">
              <wp:posOffset>14605</wp:posOffset>
            </wp:positionV>
            <wp:extent cx="19545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5038090</wp:posOffset>
            </wp:positionH>
            <wp:positionV relativeFrom="paragraph">
              <wp:posOffset>14605</wp:posOffset>
            </wp:positionV>
            <wp:extent cx="19545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5038090</wp:posOffset>
            </wp:positionH>
            <wp:positionV relativeFrom="paragraph">
              <wp:posOffset>14605</wp:posOffset>
            </wp:positionV>
            <wp:extent cx="19545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Delivery Instructions: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different than above)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17145</wp:posOffset>
            </wp:positionV>
            <wp:extent cx="19284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14605</wp:posOffset>
            </wp:positionV>
            <wp:extent cx="19284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92849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City/State/Zip: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14605</wp:posOffset>
            </wp:positionV>
            <wp:extent cx="19284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92849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22860</wp:posOffset>
            </wp:positionV>
            <wp:extent cx="19284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928495" cy="825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-121920</wp:posOffset>
            </wp:positionV>
            <wp:extent cx="19284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Securities Purchase Agreement]</w:t>
      </w:r>
    </w:p>
    <w:p>
      <w:pPr>
        <w:sectPr>
          <w:pgSz w:w="11900" w:h="16838" w:orient="portrait"/>
          <w:cols w:equalWidth="0" w:num="1">
            <w:col w:w="11020"/>
          </w:cols>
          <w:pgMar w:left="440" w:top="270" w:right="439" w:bottom="1440" w:gutter="0" w:footer="0" w:header="0"/>
        </w:sectPr>
      </w:pPr>
    </w:p>
    <w:bookmarkStart w:id="41" w:name="page42"/>
    <w:bookmarkEnd w:id="41"/>
    <w:p>
      <w:pPr>
        <w:jc w:val="right"/>
        <w:ind w:right="407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EXHIBITS</w:t>
      </w:r>
    </w:p>
    <w:p>
      <w:pPr>
        <w:spacing w:after="0" w:line="256" w:lineRule="exact"/>
        <w:rPr>
          <w:sz w:val="20"/>
          <w:szCs w:val="20"/>
          <w:color w:val="auto"/>
        </w:rPr>
      </w:pPr>
    </w:p>
    <w:p>
      <w:pPr>
        <w:ind w:left="544" w:hanging="544"/>
        <w:spacing w:after="0"/>
        <w:tabs>
          <w:tab w:leader="none" w:pos="54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Pre-Funded Warrant</w:t>
      </w:r>
    </w:p>
    <w:p>
      <w:pPr>
        <w:spacing w:after="0" w:line="27" w:lineRule="exact"/>
        <w:rPr>
          <w:rFonts w:ascii="Times New Roman" w:cs="Times New Roman" w:eastAsia="Times New Roman" w:hAnsi="Times New Roman"/>
          <w:sz w:val="18"/>
          <w:szCs w:val="18"/>
          <w:color w:val="auto"/>
        </w:rPr>
      </w:pPr>
    </w:p>
    <w:p>
      <w:pPr>
        <w:ind w:left="4" w:right="6599" w:hanging="4"/>
        <w:spacing w:after="0" w:line="265" w:lineRule="auto"/>
        <w:tabs>
          <w:tab w:leader="none" w:pos="557"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 of Registration Rights Agreement C-1: Accredited Investor Questionnaire</w:t>
      </w: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C-2:   Book-Entry Questionnaire</w:t>
      </w:r>
    </w:p>
    <w:p>
      <w:pPr>
        <w:spacing w:after="0" w:line="9" w:lineRule="exact"/>
        <w:rPr>
          <w:sz w:val="20"/>
          <w:szCs w:val="20"/>
          <w:color w:val="auto"/>
        </w:rPr>
      </w:pPr>
    </w:p>
    <w:p>
      <w:pPr>
        <w:ind w:left="544" w:hanging="544"/>
        <w:spacing w:after="0"/>
        <w:tabs>
          <w:tab w:leader="none" w:pos="5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Opinion of Company U.S. Counsel</w:t>
      </w:r>
    </w:p>
    <w:p>
      <w:pPr>
        <w:spacing w:after="0" w:line="9"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Exercise Notice</w:t>
      </w:r>
    </w:p>
    <w:p>
      <w:pPr>
        <w:spacing w:after="0" w:line="9"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Secretary’s Certificate</w:t>
      </w:r>
    </w:p>
    <w:p>
      <w:pPr>
        <w:spacing w:after="0" w:line="9"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Officer’s Certificate</w:t>
      </w:r>
    </w:p>
    <w:p>
      <w:pPr>
        <w:spacing w:after="0" w:line="9"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Board Rights Letter</w:t>
      </w:r>
    </w:p>
    <w:p>
      <w:pPr>
        <w:spacing w:after="0" w:line="9"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 Instructions</w:t>
      </w:r>
    </w:p>
    <w:p>
      <w:pPr>
        <w:sectPr>
          <w:pgSz w:w="11900" w:h="16838" w:orient="portrait"/>
          <w:cols w:equalWidth="0" w:num="1">
            <w:col w:w="10023"/>
          </w:cols>
          <w:pgMar w:left="436" w:top="266" w:right="1440"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FORM OF PRE-FUNDED WARRANT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(Circulated separately)</w:t>
      </w:r>
    </w:p>
    <w:p>
      <w:pPr>
        <w:sectPr>
          <w:pgSz w:w="11900" w:h="16838" w:orient="portrait"/>
          <w:cols w:equalWidth="0" w:num="1">
            <w:col w:w="9019"/>
          </w:cols>
          <w:pgMar w:left="1440" w:top="270" w:right="1440"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FORM OF REGISTRATION RIGHTS AGREEMENT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(Circulated separately)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9019"/>
          </w:cols>
          <w:pgMar w:left="1440" w:top="270" w:right="1440" w:bottom="1440" w:gutter="0" w:footer="0" w:header="0"/>
        </w:sectPr>
      </w:pPr>
    </w:p>
    <w:bookmarkStart w:id="44" w:name="page45"/>
    <w:bookmarkEnd w:id="44"/>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INSTRUCTION SHEET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be read in conjunction with the entire Securities Purchase Agreement and Registration Rights Agreement)</w:t>
      </w:r>
    </w:p>
    <w:p>
      <w:pPr>
        <w:spacing w:after="0" w:line="131" w:lineRule="exact"/>
        <w:rPr>
          <w:sz w:val="20"/>
          <w:szCs w:val="20"/>
          <w:color w:val="auto"/>
        </w:rPr>
      </w:pPr>
    </w:p>
    <w:p>
      <w:pPr>
        <w:ind w:left="424" w:hanging="424"/>
        <w:spacing w:after="0"/>
        <w:tabs>
          <w:tab w:leader="none" w:pos="4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the following items in the Securities Purchase Agreement and/or Registration Rights Agreement:</w:t>
      </w:r>
    </w:p>
    <w:p>
      <w:pPr>
        <w:spacing w:after="0" w:line="130" w:lineRule="exact"/>
        <w:rPr>
          <w:rFonts w:ascii="Times New Roman" w:cs="Times New Roman" w:eastAsia="Times New Roman" w:hAnsi="Times New Roman"/>
          <w:sz w:val="18"/>
          <w:szCs w:val="18"/>
          <w:color w:val="auto"/>
        </w:rPr>
      </w:pPr>
    </w:p>
    <w:p>
      <w:pPr>
        <w:ind w:left="964" w:hanging="532"/>
        <w:spacing w:after="0" w:line="282" w:lineRule="auto"/>
        <w:tabs>
          <w:tab w:leader="none" w:pos="96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information regarding the Purchaser requested on the signature page. The Securities Purchase Agreement and the Registration Rights Agreement must be executed by an individual authorized to bind the Purchaser.</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 C-1</w:t>
      </w:r>
      <w:r>
        <w:rPr>
          <w:rFonts w:ascii="Times New Roman" w:cs="Times New Roman" w:eastAsia="Times New Roman" w:hAnsi="Times New Roman"/>
          <w:sz w:val="18"/>
          <w:szCs w:val="18"/>
          <w:color w:val="auto"/>
        </w:rPr>
        <w:t xml:space="preserve"> – Accredited Investor Questionnaire:</w:t>
      </w:r>
    </w:p>
    <w:p>
      <w:pPr>
        <w:spacing w:after="0" w:line="117"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information requested by the Accredited Investor Questionnaire</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 C-2</w:t>
      </w:r>
      <w:r>
        <w:rPr>
          <w:rFonts w:ascii="Times New Roman" w:cs="Times New Roman" w:eastAsia="Times New Roman" w:hAnsi="Times New Roman"/>
          <w:sz w:val="18"/>
          <w:szCs w:val="18"/>
          <w:color w:val="auto"/>
        </w:rPr>
        <w:t xml:space="preserve"> – Book-Entry Questionnaire:</w:t>
      </w:r>
    </w:p>
    <w:p>
      <w:pPr>
        <w:spacing w:after="0" w:line="117" w:lineRule="exact"/>
        <w:rPr>
          <w:rFonts w:ascii="Times New Roman" w:cs="Times New Roman" w:eastAsia="Times New Roman" w:hAnsi="Times New Roman"/>
          <w:sz w:val="18"/>
          <w:szCs w:val="18"/>
          <w:color w:val="auto"/>
        </w:rPr>
      </w:pPr>
    </w:p>
    <w:p>
      <w:pPr>
        <w:ind w:left="98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information requested by the Book-Entry Questionnaire</w:t>
      </w:r>
    </w:p>
    <w:p>
      <w:pPr>
        <w:spacing w:after="0" w:line="130" w:lineRule="exact"/>
        <w:rPr>
          <w:rFonts w:ascii="Times New Roman" w:cs="Times New Roman" w:eastAsia="Times New Roman" w:hAnsi="Times New Roman"/>
          <w:sz w:val="18"/>
          <w:szCs w:val="18"/>
          <w:color w:val="auto"/>
        </w:rPr>
      </w:pPr>
    </w:p>
    <w:p>
      <w:pPr>
        <w:ind w:left="984" w:right="3060" w:hanging="552"/>
        <w:spacing w:after="0" w:line="383" w:lineRule="auto"/>
        <w:tabs>
          <w:tab w:leader="none" w:pos="96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B to the Registration Rights Agreement – Selling Stockholder Notice and Questionnaire: Provide the information requested by the Selling Stockholder Notice and Questionnaire</w:t>
      </w:r>
    </w:p>
    <w:p>
      <w:pPr>
        <w:spacing w:after="0" w:line="1" w:lineRule="exact"/>
        <w:rPr>
          <w:sz w:val="20"/>
          <w:szCs w:val="20"/>
          <w:color w:val="auto"/>
        </w:rPr>
      </w:pPr>
    </w:p>
    <w:p>
      <w:pPr>
        <w:ind w:left="964" w:hanging="532"/>
        <w:spacing w:after="0"/>
        <w:tabs>
          <w:tab w:leader="none" w:pos="96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the signed Securities Purchase Agreement and Registration Rights Agreement to:</w:t>
      </w:r>
    </w:p>
    <w:p>
      <w:pPr>
        <w:spacing w:after="0" w:line="11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Jason Oh</w:t>
      </w:r>
    </w:p>
    <w:p>
      <w:pPr>
        <w:spacing w:after="0" w:line="2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Wilson Sonsini Goodrich &amp; Rosati, P.C.</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701 Fifth Avenue, Suite 5100</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Seattle, Washington 98104</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Tel:</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Email:</w:t>
      </w:r>
    </w:p>
    <w:p>
      <w:pPr>
        <w:spacing w:after="0" w:line="112" w:lineRule="exact"/>
        <w:rPr>
          <w:sz w:val="20"/>
          <w:szCs w:val="20"/>
          <w:color w:val="auto"/>
        </w:rPr>
      </w:pPr>
    </w:p>
    <w:p>
      <w:pPr>
        <w:ind w:left="424" w:hanging="424"/>
        <w:spacing w:after="0" w:line="282" w:lineRule="auto"/>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Instructions regarding the transfer of funds for the purchase of Pre-Funded Warrants are set forth on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to the Securities Purchase Agreement.</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disclosure made to you pursuant to Rule 506(e) under the Securities Act of 1933, as amended, included at the end of this packet.</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ACCREDITED INVESTOR QUESTIONNAIRE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INFORMATION WILL BE TREATED CONFIDENTIALLY)</w:t>
      </w:r>
    </w:p>
    <w:p>
      <w:pPr>
        <w:spacing w:after="0" w:line="25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To:</w:t>
        <w:tab/>
        <w:t>Zymeworks Inc.</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Investor Questionnaire (“</w:t>
      </w:r>
      <w:r>
        <w:rPr>
          <w:rFonts w:ascii="Times New Roman" w:cs="Times New Roman" w:eastAsia="Times New Roman" w:hAnsi="Times New Roman"/>
          <w:sz w:val="18"/>
          <w:szCs w:val="18"/>
          <w:i w:val="1"/>
          <w:iCs w:val="1"/>
          <w:color w:val="auto"/>
        </w:rPr>
        <w:t>Questionnaire</w:t>
      </w:r>
      <w:r>
        <w:rPr>
          <w:rFonts w:ascii="Times New Roman" w:cs="Times New Roman" w:eastAsia="Times New Roman" w:hAnsi="Times New Roman"/>
          <w:sz w:val="18"/>
          <w:szCs w:val="18"/>
          <w:color w:val="auto"/>
        </w:rPr>
        <w:t>”) must be completed by each potential investor in connection with the offer and sale of the shares of common stock, $0.00001 par value per share, that may be issued upon exercise of certain pre-funded warrants (the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of Zymeworks Inc., a Delaware corporation (the “</w:t>
      </w:r>
      <w:r>
        <w:rPr>
          <w:rFonts w:ascii="Times New Roman" w:cs="Times New Roman" w:eastAsia="Times New Roman" w:hAnsi="Times New Roman"/>
          <w:sz w:val="18"/>
          <w:szCs w:val="18"/>
          <w:i w:val="1"/>
          <w:iCs w:val="1"/>
          <w:color w:val="auto"/>
        </w:rPr>
        <w:t>Corporation</w:t>
      </w:r>
      <w:r>
        <w:rPr>
          <w:rFonts w:ascii="Times New Roman" w:cs="Times New Roman" w:eastAsia="Times New Roman" w:hAnsi="Times New Roman"/>
          <w:sz w:val="18"/>
          <w:szCs w:val="18"/>
          <w:color w:val="auto"/>
        </w:rPr>
        <w:t>”). The Securities are being offered and sold by the Corporation without registration under the Securities Act of 1933, as amended (the “</w:t>
      </w:r>
      <w:r>
        <w:rPr>
          <w:rFonts w:ascii="Times New Roman" w:cs="Times New Roman" w:eastAsia="Times New Roman" w:hAnsi="Times New Roman"/>
          <w:sz w:val="18"/>
          <w:szCs w:val="18"/>
          <w:i w:val="1"/>
          <w:iCs w:val="1"/>
          <w:color w:val="auto"/>
        </w:rPr>
        <w:t>Act</w:t>
      </w:r>
      <w:r>
        <w:rPr>
          <w:rFonts w:ascii="Times New Roman" w:cs="Times New Roman" w:eastAsia="Times New Roman" w:hAnsi="Times New Roman"/>
          <w:sz w:val="18"/>
          <w:szCs w:val="18"/>
          <w:color w:val="auto"/>
        </w:rPr>
        <w:t>”), and the securities laws of certain states, in reliance on the exemptions contained in Section 4(a)(2) of the Act and on Regulation D promulgated thereunder and in reliance on similar exemptions under applicable state laws. The Corporation must determine that a potential investor meets certain suitability requirements before offering or selling Securities to such investor. The purpose of this Questionnaire is to assure the Corporation that each investor will meet the applicable suitability requirements. The information supplied by you will be used in determining whether you meet such criteria, and reliance upon the private offering exemptions from registration is based in part on the information herein supplied.</w:t>
      </w:r>
    </w:p>
    <w:p>
      <w:pPr>
        <w:spacing w:after="0" w:line="18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This Questionnaire does not constitute an offer to sell or a solicitation of an offer to buy any security. Your answers will be kept strictly confidential. However, by signing this Questionnaire, you will be authorizing the Corporation to provide a completed copy of this Questionnaire to such parties as the Corporation deems appropriate in order to ensure that the offer and sale of the Securities will not result in a violation of the Act or the securities laws of any state and that you otherwise satisfy the suitability standards applicable to purchasers of the Securities. All potential investors must answer all applicable questions and complete, date and sign this Questionnaire. Please print or type your responses and attach additional sheets of paper if necessary to complete your answers to any item.</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PART A. </w:t>
      </w:r>
      <w:r>
        <w:rPr>
          <w:rFonts w:ascii="Times New Roman" w:cs="Times New Roman" w:eastAsia="Times New Roman" w:hAnsi="Times New Roman"/>
          <w:sz w:val="18"/>
          <w:szCs w:val="18"/>
          <w:u w:val="single" w:color="auto"/>
          <w:color w:val="auto"/>
        </w:rPr>
        <w:t>BACKGROUND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Beneficial Owner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17145</wp:posOffset>
            </wp:positionV>
            <wp:extent cx="45434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543425"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17145</wp:posOffset>
            </wp:positionV>
            <wp:extent cx="600900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(Number and Street)</w:t>
      </w:r>
    </w:p>
    <w:p>
      <w:pPr>
        <w:spacing w:after="0" w:line="200" w:lineRule="exact"/>
        <w:rPr>
          <w:sz w:val="20"/>
          <w:szCs w:val="20"/>
          <w:color w:val="auto"/>
        </w:rPr>
      </w:pPr>
    </w:p>
    <w:p>
      <w:pPr>
        <w:spacing w:after="0" w:line="277" w:lineRule="exact"/>
        <w:rPr>
          <w:sz w:val="20"/>
          <w:szCs w:val="20"/>
          <w:color w:val="auto"/>
        </w:rPr>
      </w:pPr>
    </w:p>
    <w:p>
      <w:pPr>
        <w:spacing w:after="0"/>
        <w:tabs>
          <w:tab w:leader="none" w:pos="3720" w:val="left"/>
          <w:tab w:leader="none" w:pos="8280" w:val="left"/>
        </w:tabs>
        <w:rPr>
          <w:sz w:val="20"/>
          <w:szCs w:val="20"/>
          <w:color w:val="auto"/>
        </w:rPr>
      </w:pPr>
      <w:r>
        <w:rPr>
          <w:rFonts w:ascii="Times New Roman" w:cs="Times New Roman" w:eastAsia="Times New Roman" w:hAnsi="Times New Roman"/>
          <w:sz w:val="18"/>
          <w:szCs w:val="18"/>
          <w:color w:val="auto"/>
        </w:rPr>
        <w:t>(City)</w:t>
      </w:r>
      <w:r>
        <w:rPr>
          <w:sz w:val="20"/>
          <w:szCs w:val="20"/>
          <w:color w:val="auto"/>
        </w:rPr>
        <w:tab/>
      </w:r>
      <w:r>
        <w:rPr>
          <w:rFonts w:ascii="Times New Roman" w:cs="Times New Roman" w:eastAsia="Times New Roman" w:hAnsi="Times New Roman"/>
          <w:sz w:val="18"/>
          <w:szCs w:val="18"/>
          <w:color w:val="auto"/>
        </w:rPr>
        <w:t>(State)</w:t>
      </w:r>
      <w:r>
        <w:rPr>
          <w:sz w:val="20"/>
          <w:szCs w:val="20"/>
          <w:color w:val="auto"/>
        </w:rPr>
        <w:tab/>
      </w:r>
      <w:r>
        <w:rPr>
          <w:rFonts w:ascii="Times New Roman" w:cs="Times New Roman" w:eastAsia="Times New Roman" w:hAnsi="Times New Roman"/>
          <w:sz w:val="18"/>
          <w:szCs w:val="18"/>
          <w:color w:val="auto"/>
        </w:rPr>
        <w:t>(Zip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951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Number: (___)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1334770</wp:posOffset>
            </wp:positionH>
            <wp:positionV relativeFrom="paragraph">
              <wp:posOffset>17145</wp:posOffset>
            </wp:positionV>
            <wp:extent cx="56578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a corporation, partnership, limited liability company, trust or other entity:</w:t>
      </w:r>
    </w:p>
    <w:p>
      <w:pPr>
        <w:sectPr>
          <w:pgSz w:w="11900" w:h="16838" w:orient="portrait"/>
          <w:cols w:equalWidth="0" w:num="1">
            <w:col w:w="11020"/>
          </w:cols>
          <w:pgMar w:left="440" w:top="270" w:right="439" w:bottom="1440" w:gutter="0" w:footer="0" w:header="0"/>
        </w:sectPr>
      </w:pP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Type of entity:</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State of 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21590</wp:posOffset>
            </wp:positionV>
            <wp:extent cx="209994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 Date of 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17145</wp:posOffset>
            </wp:positionV>
            <wp:extent cx="195453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-127635</wp:posOffset>
            </wp:positionV>
            <wp:extent cx="60090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090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60" w:space="720"/>
            <w:col w:w="5740"/>
          </w:cols>
          <w:pgMar w:left="440" w:top="270" w:right="43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Were you formed for the purpose of investing in the securities being offered?</w:t>
      </w:r>
    </w:p>
    <w:p>
      <w:pPr>
        <w:spacing w:after="0" w:line="264" w:lineRule="exact"/>
        <w:rPr>
          <w:sz w:val="20"/>
          <w:szCs w:val="20"/>
          <w:color w:val="auto"/>
        </w:rPr>
      </w:pPr>
    </w:p>
    <w:p>
      <w:pPr>
        <w:ind w:left="880"/>
        <w:spacing w:after="0"/>
        <w:tabs>
          <w:tab w:leader="none" w:pos="2320" w:val="left"/>
        </w:tabs>
        <w:rPr>
          <w:sz w:val="20"/>
          <w:szCs w:val="20"/>
          <w:color w:val="auto"/>
        </w:rPr>
      </w:pPr>
      <w:r>
        <w:rPr>
          <w:rFonts w:ascii="Times New Roman" w:cs="Times New Roman" w:eastAsia="Times New Roman" w:hAnsi="Times New Roman"/>
          <w:sz w:val="18"/>
          <w:szCs w:val="18"/>
          <w:color w:val="auto"/>
        </w:rPr>
        <w:t>Yes ____</w:t>
      </w:r>
      <w:r>
        <w:rPr>
          <w:sz w:val="20"/>
          <w:szCs w:val="20"/>
          <w:color w:val="auto"/>
        </w:rPr>
        <w:tab/>
      </w:r>
      <w:r>
        <w:rPr>
          <w:rFonts w:ascii="Times New Roman" w:cs="Times New Roman" w:eastAsia="Times New Roman" w:hAnsi="Times New Roman"/>
          <w:sz w:val="17"/>
          <w:szCs w:val="17"/>
          <w:color w:val="auto"/>
        </w:rPr>
        <w:t>No ____</w:t>
      </w:r>
    </w:p>
    <w:p>
      <w:pPr>
        <w:sectPr>
          <w:pgSz w:w="11900" w:h="16838" w:orient="portrait"/>
          <w:cols w:equalWidth="0" w:num="1">
            <w:col w:w="11020"/>
          </w:cols>
          <w:pgMar w:left="440" w:top="270" w:right="4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 individua</w:t>
      </w:r>
      <w:r>
        <w:rPr>
          <w:rFonts w:ascii="Times New Roman" w:cs="Times New Roman" w:eastAsia="Times New Roman" w:hAnsi="Times New Roman"/>
          <w:sz w:val="18"/>
          <w:szCs w:val="18"/>
          <w:i w:val="1"/>
          <w:iCs w:val="1"/>
          <w:color w:val="auto"/>
        </w:rPr>
        <w:t>l:</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Residence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17145</wp:posOffset>
            </wp:positionV>
            <wp:extent cx="59404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4042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(Number and Street)</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(City)</w:t>
            </w:r>
          </w:p>
        </w:tc>
        <w:tc>
          <w:tcPr>
            <w:tcW w:w="4700" w:type="dxa"/>
            <w:vAlign w:val="bottom"/>
            <w:tcBorders>
              <w:top w:val="single" w:sz="8" w:color="auto"/>
            </w:tcBorders>
          </w:tcPr>
          <w:p>
            <w:pPr>
              <w:ind w:left="2680"/>
              <w:spacing w:after="0"/>
              <w:rPr>
                <w:sz w:val="20"/>
                <w:szCs w:val="20"/>
                <w:color w:val="auto"/>
              </w:rPr>
            </w:pPr>
            <w:r>
              <w:rPr>
                <w:rFonts w:ascii="Times New Roman" w:cs="Times New Roman" w:eastAsia="Times New Roman" w:hAnsi="Times New Roman"/>
                <w:sz w:val="18"/>
                <w:szCs w:val="18"/>
                <w:color w:val="auto"/>
              </w:rPr>
              <w:t>(State)</w:t>
            </w:r>
          </w:p>
        </w:tc>
        <w:tc>
          <w:tcPr>
            <w:tcW w:w="4220" w:type="dxa"/>
            <w:vAlign w:val="bottom"/>
            <w:tcBorders>
              <w:top w:val="single" w:sz="8" w:color="auto"/>
            </w:tcBorders>
          </w:tcPr>
          <w:p>
            <w:pPr>
              <w:ind w:left="2120"/>
              <w:spacing w:after="0"/>
              <w:rPr>
                <w:sz w:val="20"/>
                <w:szCs w:val="20"/>
                <w:color w:val="auto"/>
              </w:rPr>
            </w:pPr>
            <w:r>
              <w:rPr>
                <w:rFonts w:ascii="Times New Roman" w:cs="Times New Roman" w:eastAsia="Times New Roman" w:hAnsi="Times New Roman"/>
                <w:sz w:val="18"/>
                <w:szCs w:val="18"/>
                <w:color w:val="auto"/>
              </w:rPr>
              <w:t>(Zip Code)</w:t>
            </w:r>
          </w:p>
        </w:tc>
      </w:tr>
      <w:tr>
        <w:trPr>
          <w:trHeight w:val="441"/>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Telephone Number: (___)</w:t>
            </w:r>
          </w:p>
        </w:tc>
        <w:tc>
          <w:tcPr>
            <w:tcW w:w="470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r>
      <w:tr>
        <w:trPr>
          <w:trHeight w:val="453"/>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Age: __________</w:t>
            </w:r>
          </w:p>
        </w:tc>
        <w:tc>
          <w:tcPr>
            <w:tcW w:w="47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Citizenship: ____________</w:t>
            </w:r>
          </w:p>
        </w:tc>
        <w:tc>
          <w:tcPr>
            <w:tcW w:w="42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Where registered to vote: _______________</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Set forth in the space provided below the state(s), if any, in the United States in which you maintained your residence during the past two years and the dates during which you resided in each state: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you a director or executive officer of the Corporation?</w:t>
      </w:r>
    </w:p>
    <w:p>
      <w:pPr>
        <w:spacing w:after="0" w:line="252" w:lineRule="exact"/>
        <w:rPr>
          <w:sz w:val="20"/>
          <w:szCs w:val="20"/>
          <w:color w:val="auto"/>
        </w:rPr>
      </w:pPr>
    </w:p>
    <w:p>
      <w:pPr>
        <w:ind w:left="880"/>
        <w:spacing w:after="0"/>
        <w:tabs>
          <w:tab w:leader="none" w:pos="2500" w:val="left"/>
        </w:tabs>
        <w:rPr>
          <w:sz w:val="20"/>
          <w:szCs w:val="20"/>
          <w:color w:val="auto"/>
        </w:rPr>
      </w:pPr>
      <w:r>
        <w:rPr>
          <w:rFonts w:ascii="Times New Roman" w:cs="Times New Roman" w:eastAsia="Times New Roman" w:hAnsi="Times New Roman"/>
          <w:sz w:val="18"/>
          <w:szCs w:val="18"/>
          <w:color w:val="auto"/>
        </w:rPr>
        <w:t>Yes ____</w:t>
      </w:r>
      <w:r>
        <w:rPr>
          <w:sz w:val="20"/>
          <w:szCs w:val="20"/>
          <w:color w:val="auto"/>
        </w:rPr>
        <w:tab/>
      </w:r>
      <w:r>
        <w:rPr>
          <w:rFonts w:ascii="Times New Roman" w:cs="Times New Roman" w:eastAsia="Times New Roman" w:hAnsi="Times New Roman"/>
          <w:sz w:val="17"/>
          <w:szCs w:val="17"/>
          <w:color w:val="auto"/>
        </w:rPr>
        <w:t>No ____</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Security or Taxpayer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17145</wp:posOffset>
            </wp:positionV>
            <wp:extent cx="46120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612005" cy="825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PART B. </w:t>
      </w:r>
      <w:r>
        <w:rPr>
          <w:rFonts w:ascii="Times New Roman" w:cs="Times New Roman" w:eastAsia="Times New Roman" w:hAnsi="Times New Roman"/>
          <w:sz w:val="18"/>
          <w:szCs w:val="18"/>
          <w:u w:val="single" w:color="auto"/>
          <w:color w:val="auto"/>
        </w:rPr>
        <w:t>ACCREDITED INVESTOR QUESTIONNAIRE</w:t>
      </w:r>
    </w:p>
    <w:p>
      <w:pPr>
        <w:spacing w:after="0" w:line="117"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In order for the Company to offer and sell the Securities in conformance with state and federal securities laws, the following information must be obtained regarding your investor status. Please </w:t>
      </w:r>
      <w:r>
        <w:rPr>
          <w:rFonts w:ascii="Times New Roman" w:cs="Times New Roman" w:eastAsia="Times New Roman" w:hAnsi="Times New Roman"/>
          <w:sz w:val="18"/>
          <w:szCs w:val="18"/>
          <w:u w:val="single" w:color="auto"/>
          <w:color w:val="auto"/>
        </w:rPr>
        <w:t>initial each category</w:t>
      </w:r>
      <w:r>
        <w:rPr>
          <w:rFonts w:ascii="Times New Roman" w:cs="Times New Roman" w:eastAsia="Times New Roman" w:hAnsi="Times New Roman"/>
          <w:sz w:val="18"/>
          <w:szCs w:val="18"/>
          <w:color w:val="auto"/>
        </w:rPr>
        <w:t xml:space="preserve"> applicable to you as a Purchaser of Securities of the Company.</w:t>
      </w:r>
    </w:p>
    <w:p>
      <w:pPr>
        <w:spacing w:after="0" w:line="67" w:lineRule="exact"/>
        <w:rPr>
          <w:sz w:val="20"/>
          <w:szCs w:val="20"/>
          <w:color w:val="auto"/>
        </w:rPr>
      </w:pPr>
    </w:p>
    <w:p>
      <w:pPr>
        <w:ind w:left="1420" w:right="20" w:hanging="647"/>
        <w:spacing w:after="0" w:line="282" w:lineRule="auto"/>
        <w:tabs>
          <w:tab w:leader="none" w:pos="1400" w:val="left"/>
        </w:tabs>
        <w:rPr>
          <w:sz w:val="20"/>
          <w:szCs w:val="20"/>
          <w:color w:val="auto"/>
        </w:rPr>
      </w:pPr>
      <w:r>
        <w:rPr>
          <w:rFonts w:ascii="Times New Roman" w:cs="Times New Roman" w:eastAsia="Times New Roman" w:hAnsi="Times New Roman"/>
          <w:sz w:val="18"/>
          <w:szCs w:val="18"/>
          <w:color w:val="auto"/>
        </w:rPr>
        <w:t>__ (1)</w:t>
        <w:tab/>
        <w:t>A bank as defined in Section 3(a)(2) of the Securities Act, or any savings and loan association or other institution as defined in Section 3(a)(5)(A) of the Securities Act whether acting in its individual or fiduciary capacity;</w:t>
      </w:r>
    </w:p>
    <w:p>
      <w:pPr>
        <w:spacing w:after="0" w:line="67" w:lineRule="exact"/>
        <w:rPr>
          <w:sz w:val="20"/>
          <w:szCs w:val="20"/>
          <w:color w:val="auto"/>
        </w:rPr>
      </w:pPr>
    </w:p>
    <w:p>
      <w:pPr>
        <w:ind w:left="760" w:right="2940"/>
        <w:spacing w:after="0" w:line="391" w:lineRule="auto"/>
        <w:rPr>
          <w:sz w:val="20"/>
          <w:szCs w:val="20"/>
          <w:color w:val="auto"/>
        </w:rPr>
      </w:pPr>
      <w:r>
        <w:rPr>
          <w:rFonts w:ascii="Times New Roman" w:cs="Times New Roman" w:eastAsia="Times New Roman" w:hAnsi="Times New Roman"/>
          <w:sz w:val="18"/>
          <w:szCs w:val="18"/>
          <w:color w:val="auto"/>
        </w:rPr>
        <w:t>__ (2) A broker or dealer registered pursuant to Section 15 of the Securities Exchange Act of 1934; __ (3) An insurance company as defined in Section 2(a)(13) of the Securities Act;</w:t>
      </w:r>
    </w:p>
    <w:p>
      <w:pPr>
        <w:spacing w:after="0" w:line="1" w:lineRule="exact"/>
        <w:rPr>
          <w:sz w:val="20"/>
          <w:szCs w:val="20"/>
          <w:color w:val="auto"/>
        </w:rPr>
      </w:pPr>
    </w:p>
    <w:p>
      <w:pPr>
        <w:ind w:left="1420" w:right="20" w:hanging="647"/>
        <w:spacing w:after="0" w:line="282" w:lineRule="auto"/>
        <w:tabs>
          <w:tab w:leader="none" w:pos="1400" w:val="left"/>
        </w:tabs>
        <w:rPr>
          <w:sz w:val="20"/>
          <w:szCs w:val="20"/>
          <w:color w:val="auto"/>
        </w:rPr>
      </w:pPr>
      <w:r>
        <w:rPr>
          <w:rFonts w:ascii="Times New Roman" w:cs="Times New Roman" w:eastAsia="Times New Roman" w:hAnsi="Times New Roman"/>
          <w:sz w:val="18"/>
          <w:szCs w:val="18"/>
          <w:color w:val="auto"/>
        </w:rPr>
        <w:t>__ (4)</w:t>
        <w:tab/>
        <w:t>An investment company registered under the Investment Company Act of 1940 or a business development company as defined in Section 2(a)(48) of that Act;</w:t>
      </w:r>
    </w:p>
    <w:p>
      <w:pPr>
        <w:spacing w:after="0" w:line="67" w:lineRule="exact"/>
        <w:rPr>
          <w:sz w:val="20"/>
          <w:szCs w:val="20"/>
          <w:color w:val="auto"/>
        </w:rPr>
      </w:pPr>
    </w:p>
    <w:p>
      <w:pPr>
        <w:ind w:left="1420" w:hanging="647"/>
        <w:spacing w:after="0" w:line="282" w:lineRule="auto"/>
        <w:tabs>
          <w:tab w:leader="none" w:pos="1400" w:val="left"/>
        </w:tabs>
        <w:rPr>
          <w:sz w:val="20"/>
          <w:szCs w:val="20"/>
          <w:color w:val="auto"/>
        </w:rPr>
      </w:pPr>
      <w:r>
        <w:rPr>
          <w:rFonts w:ascii="Times New Roman" w:cs="Times New Roman" w:eastAsia="Times New Roman" w:hAnsi="Times New Roman"/>
          <w:sz w:val="18"/>
          <w:szCs w:val="18"/>
          <w:color w:val="auto"/>
        </w:rPr>
        <w:t>__ (5)</w:t>
        <w:tab/>
        <w:t>A Small Business Investment Company licensed by the U.S. Small Business Administration under Section 301(c) or (d) of the Small Business Investment Act of 1958;</w:t>
      </w:r>
    </w:p>
    <w:p>
      <w:pPr>
        <w:spacing w:after="0" w:line="67" w:lineRule="exact"/>
        <w:rPr>
          <w:sz w:val="20"/>
          <w:szCs w:val="20"/>
          <w:color w:val="auto"/>
        </w:rPr>
      </w:pPr>
    </w:p>
    <w:p>
      <w:pPr>
        <w:ind w:left="1420" w:right="20" w:hanging="647"/>
        <w:spacing w:after="0" w:line="282" w:lineRule="auto"/>
        <w:tabs>
          <w:tab w:leader="none" w:pos="1400" w:val="left"/>
        </w:tabs>
        <w:rPr>
          <w:sz w:val="20"/>
          <w:szCs w:val="20"/>
          <w:color w:val="auto"/>
        </w:rPr>
      </w:pPr>
      <w:r>
        <w:rPr>
          <w:rFonts w:ascii="Times New Roman" w:cs="Times New Roman" w:eastAsia="Times New Roman" w:hAnsi="Times New Roman"/>
          <w:sz w:val="18"/>
          <w:szCs w:val="18"/>
          <w:color w:val="auto"/>
        </w:rPr>
        <w:t>__ (6)</w:t>
        <w:tab/>
        <w:t>A plan established and maintained by a state, its political subdivisions, or any agency or instrumentality of a state or its political subdivisions, for the benefit of its employees, if such plan has total assets in excess of $5,000,000;</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68" w:right="439" w:bottom="1440" w:gutter="0" w:footer="0" w:header="0"/>
        </w:sectPr>
      </w:pPr>
    </w:p>
    <w:bookmarkStart w:id="47" w:name="page48"/>
    <w:bookmarkEnd w:id="47"/>
    <w:p>
      <w:pPr>
        <w:jc w:val="both"/>
        <w:ind w:left="660" w:right="2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__ (7)</w:t>
        <w:tab/>
        <w:t>An employee benefit plan within the meaning of the Employee Retirement Income Security Act of 1974, if the investment decision is made by a plan fiduciary, as defined in Section 3(21) of such act, which is either a bank, savings and loan association, insurance company, or registered investment adviser, or if the employee benefit plan has total assets in excess of $5,000,000 or, if a self-directed plan, with investment decisions made solely by persons that are accredited investors;</w:t>
      </w:r>
    </w:p>
    <w:p>
      <w:pPr>
        <w:spacing w:after="0" w:line="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__ (8)</w:t>
      </w:r>
      <w:r>
        <w:rPr>
          <w:sz w:val="20"/>
          <w:szCs w:val="20"/>
          <w:color w:val="auto"/>
        </w:rPr>
        <w:tab/>
      </w:r>
      <w:r>
        <w:rPr>
          <w:rFonts w:ascii="Times New Roman" w:cs="Times New Roman" w:eastAsia="Times New Roman" w:hAnsi="Times New Roman"/>
          <w:sz w:val="17"/>
          <w:szCs w:val="17"/>
          <w:color w:val="auto"/>
        </w:rPr>
        <w:t>A private business development company as defined in Section 202(a)(22) of the Investment Advisers Act of 1940;</w:t>
      </w:r>
    </w:p>
    <w:p>
      <w:pPr>
        <w:spacing w:after="0" w:line="131"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__ (9)</w:t>
        <w:tab/>
        <w:t>An organization described in Section 501(c)(3) of the Internal Revenue Code, a corporation, Massachusetts or similar business trust, a partnership, or a limited liability company, not formed for the specific purpose of acquiring the Securities, with total assets in excess of $5,000,000;</w:t>
      </w:r>
    </w:p>
    <w:p>
      <w:pPr>
        <w:spacing w:after="0" w:line="81" w:lineRule="exact"/>
        <w:rPr>
          <w:sz w:val="20"/>
          <w:szCs w:val="20"/>
          <w:color w:val="auto"/>
        </w:rPr>
      </w:pPr>
    </w:p>
    <w:p>
      <w:pPr>
        <w:jc w:val="both"/>
        <w:ind w:left="660" w:right="20" w:hanging="647"/>
        <w:spacing w:after="0" w:line="266" w:lineRule="auto"/>
        <w:rPr>
          <w:sz w:val="20"/>
          <w:szCs w:val="20"/>
          <w:color w:val="auto"/>
        </w:rPr>
      </w:pPr>
      <w:r>
        <w:rPr>
          <w:rFonts w:ascii="Times New Roman" w:cs="Times New Roman" w:eastAsia="Times New Roman" w:hAnsi="Times New Roman"/>
          <w:sz w:val="18"/>
          <w:szCs w:val="18"/>
          <w:color w:val="auto"/>
        </w:rPr>
        <w:t>__ (10) A trust, with total assets in excess of $5,000,000, not formed for the specific purpose of acquiring the Securities, whose purchase is directed by a sophisticated person who has such knowledge and experience in financial and business matters that such person is capable of evaluating the merits and risks of investing in the Company;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 (11)  A Rural Business Investment Company as defined in Section 384A of the Consolidated Farm and Rural Development Act;</w:t>
      </w:r>
    </w:p>
    <w:p>
      <w:pPr>
        <w:spacing w:after="0" w:line="131" w:lineRule="exact"/>
        <w:rPr>
          <w:sz w:val="20"/>
          <w:szCs w:val="20"/>
          <w:color w:val="auto"/>
        </w:rPr>
      </w:pPr>
    </w:p>
    <w:p>
      <w:pPr>
        <w:jc w:val="both"/>
        <w:ind w:left="660" w:right="20" w:hanging="647"/>
        <w:spacing w:after="0" w:line="282" w:lineRule="auto"/>
        <w:rPr>
          <w:sz w:val="20"/>
          <w:szCs w:val="20"/>
          <w:color w:val="auto"/>
        </w:rPr>
      </w:pPr>
      <w:r>
        <w:rPr>
          <w:rFonts w:ascii="Times New Roman" w:cs="Times New Roman" w:eastAsia="Times New Roman" w:hAnsi="Times New Roman"/>
          <w:sz w:val="18"/>
          <w:szCs w:val="18"/>
          <w:color w:val="auto"/>
        </w:rPr>
        <w:t>__ (12) An investment advisor registered pursuant to Section 203 of the Investment Advisers Act of 1940 or registered pursuant to the laws of a state;</w:t>
      </w:r>
    </w:p>
    <w:p>
      <w:pPr>
        <w:spacing w:after="0" w:line="67" w:lineRule="exact"/>
        <w:rPr>
          <w:sz w:val="20"/>
          <w:szCs w:val="20"/>
          <w:color w:val="auto"/>
        </w:rPr>
      </w:pPr>
    </w:p>
    <w:p>
      <w:pPr>
        <w:jc w:val="both"/>
        <w:ind w:left="660" w:right="20" w:hanging="647"/>
        <w:spacing w:after="0" w:line="282" w:lineRule="auto"/>
        <w:rPr>
          <w:sz w:val="20"/>
          <w:szCs w:val="20"/>
          <w:color w:val="auto"/>
        </w:rPr>
      </w:pPr>
      <w:r>
        <w:rPr>
          <w:rFonts w:ascii="Times New Roman" w:cs="Times New Roman" w:eastAsia="Times New Roman" w:hAnsi="Times New Roman"/>
          <w:sz w:val="18"/>
          <w:szCs w:val="18"/>
          <w:color w:val="auto"/>
        </w:rPr>
        <w:t>__ (13) An investment advisor relying on the exemption from registering with the SEC under Section 203(l) or (m) of the Investment Advisors Act of 1940;</w:t>
      </w:r>
    </w:p>
    <w:p>
      <w:pPr>
        <w:spacing w:after="0" w:line="67" w:lineRule="exact"/>
        <w:rPr>
          <w:sz w:val="20"/>
          <w:szCs w:val="20"/>
          <w:color w:val="auto"/>
        </w:rPr>
      </w:pPr>
    </w:p>
    <w:p>
      <w:pPr>
        <w:jc w:val="both"/>
        <w:ind w:left="660" w:right="20" w:hanging="647"/>
        <w:spacing w:after="0" w:line="266" w:lineRule="auto"/>
        <w:rPr>
          <w:sz w:val="20"/>
          <w:szCs w:val="20"/>
          <w:color w:val="auto"/>
        </w:rPr>
      </w:pPr>
      <w:r>
        <w:rPr>
          <w:rFonts w:ascii="Times New Roman" w:cs="Times New Roman" w:eastAsia="Times New Roman" w:hAnsi="Times New Roman"/>
          <w:sz w:val="18"/>
          <w:szCs w:val="18"/>
          <w:color w:val="auto"/>
        </w:rPr>
        <w:t>__ (14) An entity, of a type not listed above, not formed for the specific purpose of acquiring the securities offered, owning investments in excess of $5,000,000 (for purposes of this category, “investments” is defined in Rule 2a51-1(b) under the Investment Company Act of 1940);</w:t>
      </w:r>
    </w:p>
    <w:p>
      <w:pPr>
        <w:spacing w:after="0" w:line="81" w:lineRule="exact"/>
        <w:rPr>
          <w:sz w:val="20"/>
          <w:szCs w:val="20"/>
          <w:color w:val="auto"/>
        </w:rPr>
      </w:pPr>
    </w:p>
    <w:p>
      <w:pPr>
        <w:jc w:val="both"/>
        <w:ind w:left="660" w:hanging="647"/>
        <w:spacing w:after="0" w:line="258" w:lineRule="auto"/>
        <w:rPr>
          <w:sz w:val="20"/>
          <w:szCs w:val="20"/>
          <w:color w:val="auto"/>
        </w:rPr>
      </w:pPr>
      <w:r>
        <w:rPr>
          <w:rFonts w:ascii="Times New Roman" w:cs="Times New Roman" w:eastAsia="Times New Roman" w:hAnsi="Times New Roman"/>
          <w:sz w:val="18"/>
          <w:szCs w:val="18"/>
          <w:color w:val="auto"/>
        </w:rPr>
        <w:t>__ (15) A “family office,” as defined in Rule 202(a)(11)(G)-1 under the Investment Advisers Act of 1940 (i) with assets under management in excess of $5,000,000; (ii) that is not formed for the specific purpose of acquiring the securities offered; and (iii) whose prospective investment is directed by a person who has such knowledge and experience in financial and business matters that such family office is capable of evaluating the merits and risks of the prospective investment (that person must complete question 5 below in this questionnaire);</w:t>
      </w:r>
    </w:p>
    <w:p>
      <w:pPr>
        <w:spacing w:after="0" w:line="89" w:lineRule="exact"/>
        <w:rPr>
          <w:sz w:val="20"/>
          <w:szCs w:val="20"/>
          <w:color w:val="auto"/>
        </w:rPr>
      </w:pPr>
    </w:p>
    <w:p>
      <w:pPr>
        <w:jc w:val="both"/>
        <w:ind w:left="660" w:hanging="647"/>
        <w:spacing w:after="0" w:line="261" w:lineRule="auto"/>
        <w:rPr>
          <w:sz w:val="20"/>
          <w:szCs w:val="20"/>
          <w:color w:val="auto"/>
        </w:rPr>
      </w:pPr>
      <w:r>
        <w:rPr>
          <w:rFonts w:ascii="Times New Roman" w:cs="Times New Roman" w:eastAsia="Times New Roman" w:hAnsi="Times New Roman"/>
          <w:sz w:val="18"/>
          <w:szCs w:val="18"/>
          <w:color w:val="auto"/>
        </w:rPr>
        <w:t>__ (16) A “family client,” as defined in Rule 202(a)(11)(G)-1 under the Investment Advisers Act of 1940, of a family office meeting the requirements described in the item above and whose prospective investment in the Company is directed by such family office by a person who has such knowledge and experience in financial and business matters that such family office is capable of evaluating the merits and risks of the prospective investment (that person must complete question 5 below in this questionnaire);</w:t>
      </w:r>
    </w:p>
    <w:p>
      <w:pPr>
        <w:spacing w:after="0" w:line="11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260"/>
          </w:cols>
          <w:pgMar w:left="1200" w:top="270" w:right="439" w:bottom="1440" w:gutter="0" w:footer="0" w:header="0"/>
        </w:sectPr>
      </w:pPr>
    </w:p>
    <w:bookmarkStart w:id="48" w:name="page49"/>
    <w:bookmarkEnd w:id="48"/>
    <w:p>
      <w:pPr>
        <w:jc w:val="both"/>
        <w:ind w:left="1424" w:right="20" w:hanging="647"/>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___ (17) A natural person whose individual net worth, or joint net worth with that person’s spouse (in each case, excluding the value of such person’s primary residence), at the time of his purchase exceeds $1,000,000;</w:t>
      </w:r>
    </w:p>
    <w:p>
      <w:pPr>
        <w:spacing w:after="0" w:line="67" w:lineRule="exact"/>
        <w:rPr>
          <w:sz w:val="20"/>
          <w:szCs w:val="20"/>
          <w:color w:val="auto"/>
        </w:rPr>
      </w:pPr>
    </w:p>
    <w:p>
      <w:pPr>
        <w:jc w:val="both"/>
        <w:ind w:left="1424" w:hanging="647"/>
        <w:spacing w:after="0" w:line="266" w:lineRule="auto"/>
        <w:rPr>
          <w:sz w:val="20"/>
          <w:szCs w:val="20"/>
          <w:color w:val="auto"/>
        </w:rPr>
      </w:pPr>
      <w:r>
        <w:rPr>
          <w:rFonts w:ascii="Times New Roman" w:cs="Times New Roman" w:eastAsia="Times New Roman" w:hAnsi="Times New Roman"/>
          <w:sz w:val="18"/>
          <w:szCs w:val="18"/>
          <w:color w:val="auto"/>
        </w:rPr>
        <w:t>___ (18) A natural person who had an individual income in excess of $200,000 in each of the two most recent years, or joint income with that person’s spouse in excess of $300,000, in each of those years, and has a reasonable expectation of reaching the same income level in the current year;</w:t>
      </w:r>
    </w:p>
    <w:p>
      <w:pPr>
        <w:spacing w:after="0" w:line="81"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18"/>
          <w:szCs w:val="18"/>
          <w:color w:val="auto"/>
        </w:rPr>
        <w:t>___ (19) An executive officer or director of the Company;</w:t>
      </w:r>
    </w:p>
    <w:p>
      <w:pPr>
        <w:spacing w:after="0" w:line="131" w:lineRule="exact"/>
        <w:rPr>
          <w:sz w:val="20"/>
          <w:szCs w:val="20"/>
          <w:color w:val="auto"/>
        </w:rPr>
      </w:pPr>
    </w:p>
    <w:p>
      <w:pPr>
        <w:jc w:val="both"/>
        <w:ind w:left="1424" w:right="20" w:hanging="647"/>
        <w:spacing w:after="0" w:line="258" w:lineRule="auto"/>
        <w:rPr>
          <w:sz w:val="20"/>
          <w:szCs w:val="20"/>
          <w:color w:val="auto"/>
        </w:rPr>
      </w:pPr>
      <w:r>
        <w:rPr>
          <w:rFonts w:ascii="Times New Roman" w:cs="Times New Roman" w:eastAsia="Times New Roman" w:hAnsi="Times New Roman"/>
          <w:sz w:val="18"/>
          <w:szCs w:val="18"/>
          <w:color w:val="auto"/>
        </w:rPr>
        <w:t>___ (20) A natural person holding in good standing one or more professional certifications or designations or credentials from an accredited educational institution that the Commission has designated as qualifying an individual for accredited investor status, including but not limited to (1) General Securities Representative license (Series 7); (2) Private Securities Offerings Representative license (Series 82); (3) Investment Adviser Representative license (Series 65); or (4) another license that qualifies the undersigned under Rule 501(a)(10); or</w:t>
      </w:r>
    </w:p>
    <w:p>
      <w:pPr>
        <w:spacing w:after="0" w:line="89" w:lineRule="exact"/>
        <w:rPr>
          <w:sz w:val="20"/>
          <w:szCs w:val="20"/>
          <w:color w:val="auto"/>
        </w:rPr>
      </w:pPr>
    </w:p>
    <w:p>
      <w:pPr>
        <w:jc w:val="both"/>
        <w:ind w:left="1424" w:right="20" w:hanging="647"/>
        <w:spacing w:after="0" w:line="282" w:lineRule="auto"/>
        <w:rPr>
          <w:sz w:val="20"/>
          <w:szCs w:val="20"/>
          <w:color w:val="auto"/>
        </w:rPr>
      </w:pPr>
      <w:r>
        <w:rPr>
          <w:rFonts w:ascii="Times New Roman" w:cs="Times New Roman" w:eastAsia="Times New Roman" w:hAnsi="Times New Roman"/>
          <w:sz w:val="18"/>
          <w:szCs w:val="18"/>
          <w:color w:val="auto"/>
        </w:rPr>
        <w:t>___ (21) An entity in which all of the equity owners qualify under any of the above subparagraphs. If the undersigned belongs to this investor category only, list the equity owners of the undersigned, and the investor category which each such equity owner satisfies.</w:t>
      </w:r>
    </w:p>
    <w:p>
      <w:pPr>
        <w:spacing w:after="0" w:line="306" w:lineRule="exact"/>
        <w:rPr>
          <w:sz w:val="20"/>
          <w:szCs w:val="20"/>
          <w:color w:val="auto"/>
        </w:rPr>
      </w:pPr>
    </w:p>
    <w:p>
      <w:pPr>
        <w:ind w:left="424" w:hanging="424"/>
        <w:spacing w:after="0"/>
        <w:tabs>
          <w:tab w:leader="none" w:pos="424"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 EXECUTION BY AN INDIVIDUAL:</w:t>
      </w:r>
    </w:p>
    <w:p>
      <w:pPr>
        <w:spacing w:after="0" w:line="121"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900" w:type="dxa"/>
            <w:vAlign w:val="bottom"/>
            <w:tcBorders>
              <w:bottom w:val="single" w:sz="8" w:color="auto"/>
            </w:tcBorders>
          </w:tcPr>
          <w:p>
            <w:pPr>
              <w:spacing w:after="0"/>
              <w:rPr>
                <w:sz w:val="17"/>
                <w:szCs w:val="17"/>
                <w:color w:val="auto"/>
              </w:rPr>
            </w:pPr>
          </w:p>
        </w:tc>
        <w:tc>
          <w:tcPr>
            <w:tcW w:w="5280" w:type="dxa"/>
            <w:vAlign w:val="bottom"/>
          </w:tcPr>
          <w:p>
            <w:pPr>
              <w:ind w:left="4400"/>
              <w:spacing w:after="0"/>
              <w:rPr>
                <w:sz w:val="20"/>
                <w:szCs w:val="20"/>
                <w:color w:val="auto"/>
              </w:rPr>
            </w:pPr>
            <w:r>
              <w:rPr>
                <w:rFonts w:ascii="Times New Roman" w:cs="Times New Roman" w:eastAsia="Times New Roman" w:hAnsi="Times New Roman"/>
                <w:sz w:val="18"/>
                <w:szCs w:val="18"/>
                <w:color w:val="auto"/>
              </w:rPr>
              <w:t>By</w:t>
            </w:r>
          </w:p>
        </w:tc>
      </w:tr>
      <w:tr>
        <w:trPr>
          <w:trHeight w:val="23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280" w:type="dxa"/>
            <w:vAlign w:val="bottom"/>
          </w:tcPr>
          <w:p>
            <w:pPr>
              <w:ind w:left="4400"/>
              <w:spacing w:after="0"/>
              <w:rPr>
                <w:sz w:val="20"/>
                <w:szCs w:val="20"/>
                <w:color w:val="auto"/>
              </w:rPr>
            </w:pPr>
            <w:r>
              <w:rPr>
                <w:rFonts w:ascii="Times New Roman" w:cs="Times New Roman" w:eastAsia="Times New Roman" w:hAnsi="Times New Roman"/>
                <w:sz w:val="18"/>
                <w:szCs w:val="18"/>
                <w:color w:val="auto"/>
                <w:w w:val="98"/>
              </w:rPr>
              <w:t>Print Name: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0</wp:posOffset>
            </wp:positionV>
            <wp:extent cx="300037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-136525</wp:posOffset>
            </wp:positionV>
            <wp:extent cx="300037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336" w:lineRule="exact"/>
        <w:rPr>
          <w:sz w:val="20"/>
          <w:szCs w:val="20"/>
          <w:color w:val="auto"/>
        </w:rPr>
      </w:pPr>
    </w:p>
    <w:p>
      <w:pPr>
        <w:ind w:left="424" w:hanging="424"/>
        <w:spacing w:after="0"/>
        <w:tabs>
          <w:tab w:leader="none" w:pos="424"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 EXECUTION BY AN ENTITY:</w:t>
      </w:r>
    </w:p>
    <w:p>
      <w:pPr>
        <w:spacing w:after="0" w:line="135" w:lineRule="exact"/>
        <w:rPr>
          <w:sz w:val="20"/>
          <w:szCs w:val="20"/>
          <w:color w:val="auto"/>
        </w:rPr>
      </w:pPr>
    </w:p>
    <w:p>
      <w:pPr>
        <w:ind w:left="5304"/>
        <w:spacing w:after="0"/>
        <w:rPr>
          <w:sz w:val="20"/>
          <w:szCs w:val="20"/>
          <w:color w:val="auto"/>
        </w:rPr>
      </w:pPr>
      <w:r>
        <w:rPr>
          <w:rFonts w:ascii="Times New Roman" w:cs="Times New Roman" w:eastAsia="Times New Roman" w:hAnsi="Times New Roman"/>
          <w:sz w:val="18"/>
          <w:szCs w:val="18"/>
          <w:color w:val="auto"/>
        </w:rPr>
        <w:t>Entity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4063365</wp:posOffset>
            </wp:positionH>
            <wp:positionV relativeFrom="paragraph">
              <wp:posOffset>17145</wp:posOffset>
            </wp:positionV>
            <wp:extent cx="29317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05" w:lineRule="exact"/>
        <w:rPr>
          <w:sz w:val="20"/>
          <w:szCs w:val="20"/>
          <w:color w:val="auto"/>
        </w:rPr>
      </w:pPr>
    </w:p>
    <w:p>
      <w:pPr>
        <w:jc w:val="center"/>
        <w:ind w:right="196"/>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4063365</wp:posOffset>
            </wp:positionH>
            <wp:positionV relativeFrom="paragraph">
              <wp:posOffset>17145</wp:posOffset>
            </wp:positionV>
            <wp:extent cx="29317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9317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-7620</wp:posOffset>
            </wp:positionV>
            <wp:extent cx="5715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7" w:lineRule="exact"/>
        <w:rPr>
          <w:sz w:val="20"/>
          <w:szCs w:val="20"/>
          <w:color w:val="auto"/>
        </w:rPr>
      </w:pPr>
    </w:p>
    <w:p>
      <w:pPr>
        <w:ind w:left="4"/>
        <w:spacing w:after="0"/>
        <w:tabs>
          <w:tab w:leader="none" w:pos="5284"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Print Name:</w:t>
      </w:r>
    </w:p>
    <w:p>
      <w:pPr>
        <w:spacing w:after="0" w:line="9"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4063365</wp:posOffset>
            </wp:positionH>
            <wp:positionV relativeFrom="paragraph">
              <wp:posOffset>22860</wp:posOffset>
            </wp:positionV>
            <wp:extent cx="293179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931795" cy="8255"/>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-121920</wp:posOffset>
            </wp:positionV>
            <wp:extent cx="293179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372" w:lineRule="exact"/>
        <w:rPr>
          <w:sz w:val="20"/>
          <w:szCs w:val="20"/>
          <w:color w:val="auto"/>
        </w:rPr>
      </w:pPr>
    </w:p>
    <w:p>
      <w:pPr>
        <w:ind w:left="5304" w:right="3560" w:hanging="5304"/>
        <w:spacing w:after="0" w:line="427" w:lineRule="auto"/>
        <w:tabs>
          <w:tab w:leader="none" w:pos="431"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ADDITIONAL SIGNATURES (if required by partnership, corporation or trust document): </w:t>
      </w:r>
      <w:r>
        <w:rPr>
          <w:rFonts w:ascii="Times New Roman" w:cs="Times New Roman" w:eastAsia="Times New Roman" w:hAnsi="Times New Roman"/>
          <w:sz w:val="18"/>
          <w:szCs w:val="18"/>
          <w:color w:val="auto"/>
        </w:rPr>
        <w:t>Entity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4063365</wp:posOffset>
            </wp:positionH>
            <wp:positionV relativeFrom="paragraph">
              <wp:posOffset>-101600</wp:posOffset>
            </wp:positionV>
            <wp:extent cx="293179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17" w:lineRule="exact"/>
        <w:rPr>
          <w:sz w:val="20"/>
          <w:szCs w:val="20"/>
          <w:color w:val="auto"/>
        </w:rPr>
      </w:pPr>
    </w:p>
    <w:p>
      <w:pPr>
        <w:jc w:val="center"/>
        <w:ind w:right="196"/>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4063365</wp:posOffset>
            </wp:positionH>
            <wp:positionV relativeFrom="paragraph">
              <wp:posOffset>17145</wp:posOffset>
            </wp:positionV>
            <wp:extent cx="293179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9317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-7620</wp:posOffset>
            </wp:positionV>
            <wp:extent cx="5715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7" w:lineRule="exact"/>
        <w:rPr>
          <w:sz w:val="20"/>
          <w:szCs w:val="20"/>
          <w:color w:val="auto"/>
        </w:rPr>
      </w:pPr>
    </w:p>
    <w:p>
      <w:pPr>
        <w:ind w:left="4"/>
        <w:spacing w:after="0"/>
        <w:tabs>
          <w:tab w:leader="none" w:pos="5284"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Print Name:</w:t>
      </w:r>
    </w:p>
    <w:p>
      <w:pPr>
        <w:spacing w:after="0" w:line="9"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4063365</wp:posOffset>
            </wp:positionH>
            <wp:positionV relativeFrom="paragraph">
              <wp:posOffset>22860</wp:posOffset>
            </wp:positionV>
            <wp:extent cx="293179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931795" cy="8890"/>
                    </a:xfrm>
                    <a:prstGeom prst="rect">
                      <a:avLst/>
                    </a:prstGeom>
                    <a:noFill/>
                  </pic:spPr>
                </pic:pic>
              </a:graphicData>
            </a:graphic>
          </wp:anchor>
        </w:drawing>
        <w:drawing>
          <wp:anchor simplePos="0" relativeHeight="251657728" behindDoc="1" locked="0" layoutInCell="0" allowOverlap="1">
            <wp:simplePos x="0" y="0"/>
            <wp:positionH relativeFrom="column">
              <wp:posOffset>4063365</wp:posOffset>
            </wp:positionH>
            <wp:positionV relativeFrom="paragraph">
              <wp:posOffset>-121920</wp:posOffset>
            </wp:positionV>
            <wp:extent cx="293179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6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4"/>
          </w:cols>
          <w:pgMar w:left="436" w:top="270" w:right="439" w:bottom="1440" w:gutter="0" w:footer="0" w:header="0"/>
        </w:sectPr>
      </w:pPr>
    </w:p>
    <w:bookmarkStart w:id="49" w:name="page50"/>
    <w:bookmarkEnd w:id="49"/>
    <w:p>
      <w:pPr>
        <w:ind w:left="53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Entity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24765</wp:posOffset>
            </wp:positionV>
            <wp:extent cx="29317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ectPr>
          <w:pgSz w:w="11900" w:h="16838" w:orient="portrait"/>
          <w:cols w:equalWidth="0" w:num="1">
            <w:col w:w="10019"/>
          </w:cols>
          <w:pgMar w:left="440" w:top="270" w:right="1440"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wp:posOffset>
            </wp:positionH>
            <wp:positionV relativeFrom="paragraph">
              <wp:posOffset>17145</wp:posOffset>
            </wp:positionV>
            <wp:extent cx="29317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wp:posOffset>
            </wp:positionH>
            <wp:positionV relativeFrom="paragraph">
              <wp:posOffset>22860</wp:posOffset>
            </wp:positionV>
            <wp:extent cx="293179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931795" cy="8255"/>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-121920</wp:posOffset>
            </wp:positionV>
            <wp:extent cx="293179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2">
            <w:col w:w="4580" w:space="720"/>
            <w:col w:w="4719"/>
          </w:cols>
          <w:pgMar w:left="440" w:top="270" w:right="1440" w:bottom="1440" w:gutter="0" w:footer="0" w:header="0"/>
          <w:type w:val="continuous"/>
        </w:sectPr>
      </w:pPr>
    </w:p>
    <w:p>
      <w:pPr>
        <w:ind w:left="546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019"/>
          </w:cols>
          <w:pgMar w:left="440" w:top="270" w:right="1440" w:bottom="1440" w:gutter="0" w:footer="0" w:header="0"/>
          <w:type w:val="continuous"/>
        </w:sectPr>
      </w:pPr>
    </w:p>
    <w:bookmarkStart w:id="50" w:name="page51"/>
    <w:bookmarkEnd w:id="50"/>
    <w:p>
      <w:pPr>
        <w:jc w:val="center"/>
        <w:ind w:right="-1004"/>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C-2</w:t>
      </w:r>
    </w:p>
    <w:p>
      <w:pPr>
        <w:spacing w:after="0" w:line="117" w:lineRule="exact"/>
        <w:rPr>
          <w:sz w:val="20"/>
          <w:szCs w:val="20"/>
          <w:color w:val="auto"/>
        </w:rPr>
      </w:pPr>
    </w:p>
    <w:p>
      <w:pPr>
        <w:jc w:val="center"/>
        <w:ind w:right="-1004"/>
        <w:spacing w:after="0"/>
        <w:rPr>
          <w:sz w:val="20"/>
          <w:szCs w:val="20"/>
          <w:color w:val="auto"/>
        </w:rPr>
      </w:pPr>
      <w:r>
        <w:rPr>
          <w:rFonts w:ascii="Times New Roman" w:cs="Times New Roman" w:eastAsia="Times New Roman" w:hAnsi="Times New Roman"/>
          <w:sz w:val="18"/>
          <w:szCs w:val="18"/>
          <w:color w:val="auto"/>
        </w:rPr>
        <w:t>BOOK-ENTRY QUESTIONNAIRE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 xml:space="preserve">Pursuant to </w:t>
      </w:r>
      <w:r>
        <w:rPr>
          <w:rFonts w:ascii="Times New Roman" w:cs="Times New Roman" w:eastAsia="Times New Roman" w:hAnsi="Times New Roman"/>
          <w:sz w:val="17"/>
          <w:szCs w:val="17"/>
          <w:u w:val="single" w:color="auto"/>
          <w:color w:val="auto"/>
        </w:rPr>
        <w:t>Section 2.2(b)</w:t>
      </w:r>
      <w:r>
        <w:rPr>
          <w:rFonts w:ascii="Times New Roman" w:cs="Times New Roman" w:eastAsia="Times New Roman" w:hAnsi="Times New Roman"/>
          <w:sz w:val="17"/>
          <w:szCs w:val="17"/>
          <w:color w:val="auto"/>
        </w:rPr>
        <w:t xml:space="preserve"> of the Agreement, please provide us with the following information:</w:t>
      </w:r>
    </w:p>
    <w:p>
      <w:pPr>
        <w:spacing w:after="0" w:line="264" w:lineRule="exact"/>
        <w:rPr>
          <w:sz w:val="20"/>
          <w:szCs w:val="20"/>
          <w:color w:val="auto"/>
        </w:rPr>
      </w:pPr>
    </w:p>
    <w:p>
      <w:pPr>
        <w:jc w:val="both"/>
        <w:ind w:left="464" w:right="4279" w:hanging="464"/>
        <w:spacing w:after="0" w:line="266" w:lineRule="auto"/>
        <w:tabs>
          <w:tab w:leader="none" w:pos="46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exact name that the Securities are to be registered in (this is the name that will appear on the book-entry notation(s)). You may use a nominee name if appropriate:</w:t>
      </w:r>
    </w:p>
    <w:p>
      <w:pPr>
        <w:spacing w:after="0" w:line="67" w:lineRule="exact"/>
        <w:rPr>
          <w:rFonts w:ascii="Times New Roman" w:cs="Times New Roman" w:eastAsia="Times New Roman" w:hAnsi="Times New Roman"/>
          <w:sz w:val="18"/>
          <w:szCs w:val="18"/>
          <w:color w:val="auto"/>
        </w:rPr>
      </w:pPr>
    </w:p>
    <w:p>
      <w:pPr>
        <w:ind w:left="464" w:right="4299" w:hanging="464"/>
        <w:spacing w:after="0" w:line="282" w:lineRule="auto"/>
        <w:tabs>
          <w:tab w:leader="none" w:pos="46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relationship between the Purchaser of the Securities and the Registered Holder listed in response to Item 1 above:</w:t>
      </w:r>
    </w:p>
    <w:p>
      <w:pPr>
        <w:spacing w:after="0" w:line="53" w:lineRule="exact"/>
        <w:rPr>
          <w:rFonts w:ascii="Times New Roman" w:cs="Times New Roman" w:eastAsia="Times New Roman" w:hAnsi="Times New Roman"/>
          <w:sz w:val="18"/>
          <w:szCs w:val="18"/>
          <w:color w:val="auto"/>
        </w:rPr>
      </w:pPr>
    </w:p>
    <w:p>
      <w:pPr>
        <w:ind w:left="464" w:right="4299" w:hanging="464"/>
        <w:spacing w:after="0" w:line="282" w:lineRule="auto"/>
        <w:tabs>
          <w:tab w:leader="none" w:pos="46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mailing address, telephone and telecopy number of the Registered Holder listed in response to Item 1 above: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49" w:lineRule="exact"/>
        <w:rPr>
          <w:rFonts w:ascii="Times New Roman" w:cs="Times New Roman" w:eastAsia="Times New Roman" w:hAnsi="Times New Roman"/>
          <w:sz w:val="18"/>
          <w:szCs w:val="18"/>
          <w:color w:val="auto"/>
        </w:rPr>
      </w:pPr>
    </w:p>
    <w:p>
      <w:pPr>
        <w:ind w:left="464" w:right="4279" w:hanging="464"/>
        <w:spacing w:after="0" w:line="282" w:lineRule="auto"/>
        <w:tabs>
          <w:tab w:leader="none" w:pos="46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Identification Number (or, if an individual, the Social Security Number) of the Registered Holder listed in response to Item 1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-22225</wp:posOffset>
            </wp:positionV>
            <wp:extent cx="335153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3642995</wp:posOffset>
            </wp:positionH>
            <wp:positionV relativeFrom="paragraph">
              <wp:posOffset>-365125</wp:posOffset>
            </wp:positionV>
            <wp:extent cx="33515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3642995</wp:posOffset>
            </wp:positionH>
            <wp:positionV relativeFrom="paragraph">
              <wp:posOffset>-570865</wp:posOffset>
            </wp:positionV>
            <wp:extent cx="335153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51530" cy="8890"/>
                    </a:xfrm>
                    <a:prstGeom prst="rect">
                      <a:avLst/>
                    </a:prstGeom>
                    <a:noFill/>
                  </pic:spPr>
                </pic:pic>
              </a:graphicData>
            </a:graphic>
          </wp:anchor>
        </w:drawing>
        <w:drawing>
          <wp:anchor simplePos="0" relativeHeight="251657728" behindDoc="1" locked="0" layoutInCell="0" allowOverlap="1">
            <wp:simplePos x="0" y="0"/>
            <wp:positionH relativeFrom="column">
              <wp:posOffset>3642995</wp:posOffset>
            </wp:positionH>
            <wp:positionV relativeFrom="paragraph">
              <wp:posOffset>-776605</wp:posOffset>
            </wp:positionV>
            <wp:extent cx="335153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3642995</wp:posOffset>
            </wp:positionH>
            <wp:positionV relativeFrom="paragraph">
              <wp:posOffset>-982345</wp:posOffset>
            </wp:positionV>
            <wp:extent cx="335153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3642995</wp:posOffset>
            </wp:positionH>
            <wp:positionV relativeFrom="paragraph">
              <wp:posOffset>-1188085</wp:posOffset>
            </wp:positionV>
            <wp:extent cx="335153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3642995</wp:posOffset>
            </wp:positionH>
            <wp:positionV relativeFrom="paragraph">
              <wp:posOffset>-1530985</wp:posOffset>
            </wp:positionV>
            <wp:extent cx="33515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3642995</wp:posOffset>
            </wp:positionH>
            <wp:positionV relativeFrom="paragraph">
              <wp:posOffset>-1873885</wp:posOffset>
            </wp:positionV>
            <wp:extent cx="335153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ectPr>
          <w:pgSz w:w="11900" w:h="16838" w:orient="portrait"/>
          <w:cols w:equalWidth="0" w:num="1">
            <w:col w:w="10023"/>
          </w:cols>
          <w:pgMar w:left="436" w:top="270" w:right="1440"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OF OPINION OF COMPANY U.S. COUNSEL</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CIRCULATED SEPARATELY</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9019"/>
          </w:cols>
          <w:pgMar w:left="1440" w:top="270" w:right="1440" w:bottom="1440" w:gutter="0" w:footer="0" w:header="0"/>
        </w:sectPr>
      </w:pPr>
    </w:p>
    <w:bookmarkStart w:id="52" w:name="page53"/>
    <w:bookmarkEnd w:id="52"/>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E</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OF EXERCISE NOTICE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[To be executed by the Holder to purchase shares of Common Stock under the Pre-Funded Warrant]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5" w:lineRule="exact"/>
        <w:rPr>
          <w:sz w:val="20"/>
          <w:szCs w:val="20"/>
          <w:color w:val="auto"/>
        </w:rPr>
      </w:pPr>
    </w:p>
    <w:p>
      <w:pPr>
        <w:ind w:left="4" w:hanging="4"/>
        <w:spacing w:after="0" w:line="284" w:lineRule="auto"/>
        <w:tabs>
          <w:tab w:leader="none" w:pos="27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the Holder of Warrant No. __________ (the “</w:t>
      </w:r>
      <w:r>
        <w:rPr>
          <w:rFonts w:ascii="Times New Roman" w:cs="Times New Roman" w:eastAsia="Times New Roman" w:hAnsi="Times New Roman"/>
          <w:sz w:val="18"/>
          <w:szCs w:val="18"/>
          <w:i w:val="1"/>
          <w:iCs w:val="1"/>
          <w:color w:val="auto"/>
        </w:rPr>
        <w:t>Warrant</w:t>
      </w:r>
      <w:r>
        <w:rPr>
          <w:rFonts w:ascii="Times New Roman" w:cs="Times New Roman" w:eastAsia="Times New Roman" w:hAnsi="Times New Roman"/>
          <w:sz w:val="18"/>
          <w:szCs w:val="18"/>
          <w:color w:val="auto"/>
        </w:rPr>
        <w:t>”) issued by Zymeworks Inc.,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Capitalized terms used herein and not otherwise defined herein have the respective meanings set forth in the Warrant.</w:t>
      </w:r>
    </w:p>
    <w:p>
      <w:pPr>
        <w:spacing w:after="0" w:line="160"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exercises its right to purchase __________ Warrant Shares pursuant to the Warrant.</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intends that payment of the Exercise Price shall be made as (check one):</w:t>
      </w:r>
    </w:p>
    <w:p>
      <w:pPr>
        <w:spacing w:after="0" w:line="225" w:lineRule="exact"/>
        <w:rPr>
          <w:rFonts w:ascii="Times New Roman" w:cs="Times New Roman" w:eastAsia="Times New Roman" w:hAnsi="Times New Roman"/>
          <w:sz w:val="18"/>
          <w:szCs w:val="18"/>
          <w:color w:val="auto"/>
        </w:rPr>
      </w:pPr>
    </w:p>
    <w:p>
      <w:pPr>
        <w:ind w:left="644" w:hanging="204"/>
        <w:spacing w:after="0"/>
        <w:tabs>
          <w:tab w:leader="none" w:pos="644" w:val="left"/>
        </w:tabs>
        <w:numPr>
          <w:ilvl w:val="1"/>
          <w:numId w:val="4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Cash Exercise</w:t>
      </w:r>
    </w:p>
    <w:p>
      <w:pPr>
        <w:spacing w:after="0" w:line="225" w:lineRule="exact"/>
        <w:rPr>
          <w:rFonts w:ascii="MS PGothic" w:cs="MS PGothic" w:eastAsia="MS PGothic" w:hAnsi="MS PGothic"/>
          <w:sz w:val="18"/>
          <w:szCs w:val="18"/>
          <w:color w:val="auto"/>
        </w:rPr>
      </w:pPr>
    </w:p>
    <w:p>
      <w:pPr>
        <w:ind w:left="644" w:hanging="204"/>
        <w:spacing w:after="0"/>
        <w:tabs>
          <w:tab w:leader="none" w:pos="644" w:val="left"/>
        </w:tabs>
        <w:numPr>
          <w:ilvl w:val="1"/>
          <w:numId w:val="4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“Cashless Exercise” under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the Warrant</w:t>
      </w:r>
    </w:p>
    <w:p>
      <w:pPr>
        <w:spacing w:after="0" w:line="225" w:lineRule="exact"/>
        <w:rPr>
          <w:rFonts w:ascii="MS PGothic" w:cs="MS PGothic" w:eastAsia="MS PGothic" w:hAnsi="MS PGothic"/>
          <w:sz w:val="18"/>
          <w:szCs w:val="18"/>
          <w:color w:val="auto"/>
        </w:rPr>
      </w:pPr>
    </w:p>
    <w:p>
      <w:pPr>
        <w:ind w:left="4" w:right="20" w:hanging="4"/>
        <w:spacing w:after="0" w:line="282" w:lineRule="auto"/>
        <w:tabs>
          <w:tab w:leader="none" w:pos="28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has elected a Cash Exercise, the Holder shall pay the sum of $___________ in immediately available funds to the Company in accordance with the terms of the Warrant.</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this Exercise Notice, the Company shall deliver to the Holder Warrant Shares determined in accordance with the terms of the Warrant.</w:t>
      </w:r>
    </w:p>
    <w:p>
      <w:pPr>
        <w:spacing w:after="0" w:line="225" w:lineRule="exact"/>
        <w:rPr>
          <w:rFonts w:ascii="Times New Roman" w:cs="Times New Roman" w:eastAsia="Times New Roman" w:hAnsi="Times New Roman"/>
          <w:sz w:val="18"/>
          <w:szCs w:val="18"/>
          <w:color w:val="auto"/>
        </w:rPr>
      </w:pPr>
    </w:p>
    <w:p>
      <w:pPr>
        <w:jc w:val="both"/>
        <w:ind w:left="4" w:hanging="4"/>
        <w:spacing w:after="0" w:line="266" w:lineRule="auto"/>
        <w:tabs>
          <w:tab w:leader="none" w:pos="28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its delivery of this Exercise Notice,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permitted to be owned under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of the Warrant to which this notice relates.</w:t>
      </w:r>
    </w:p>
    <w:p>
      <w:pPr>
        <w:spacing w:after="0" w:line="175" w:lineRule="exact"/>
        <w:rPr>
          <w:rFonts w:ascii="Times New Roman" w:cs="Times New Roman" w:eastAsia="Times New Roman" w:hAnsi="Times New Roman"/>
          <w:sz w:val="18"/>
          <w:szCs w:val="18"/>
          <w:color w:val="auto"/>
        </w:rPr>
      </w:pPr>
    </w:p>
    <w:p>
      <w:pPr>
        <w:jc w:val="both"/>
        <w:ind w:left="4" w:hanging="4"/>
        <w:spacing w:after="0" w:line="261" w:lineRule="auto"/>
        <w:tabs>
          <w:tab w:leader="none" w:pos="26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its delivery of this Exercise Notice and pursuant to Section 4(b) of the Warrant, the undersigned certifies to the Company that its representations contained in Sections 3.2(b), (c) and (d) of the Purchase Agreement are true and correct as of the date hereof as if remade in their entirety (or, in the case of any transferee Holder that is not a party to the Purchase Agreement, such transferee Holder’s certification to the Company that such representations are true and correct as to such transferee Holder as of the date hereof).</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17145</wp:posOffset>
            </wp:positionV>
            <wp:extent cx="24345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24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916940</wp:posOffset>
            </wp:positionH>
            <wp:positionV relativeFrom="paragraph">
              <wp:posOffset>17145</wp:posOffset>
            </wp:positionV>
            <wp:extent cx="187706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877060" cy="8890"/>
                    </a:xfrm>
                    <a:prstGeom prst="rect">
                      <a:avLst/>
                    </a:prstGeom>
                    <a:noFill/>
                  </pic:spPr>
                </pic:pic>
              </a:graphicData>
            </a:graphic>
          </wp:anchor>
        </w:drawing>
      </w:r>
    </w:p>
    <w:p>
      <w:pPr>
        <w:spacing w:after="0" w:line="24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17145</wp:posOffset>
            </wp:positionV>
            <wp:extent cx="24345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14605</wp:posOffset>
            </wp:positionV>
            <wp:extent cx="24345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14605</wp:posOffset>
            </wp:positionV>
            <wp:extent cx="24345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(Signature must conform in all respects to name of Holder as specified on the face of the Warrant)</w:t>
      </w:r>
    </w:p>
    <w:p>
      <w:pPr>
        <w:sectPr>
          <w:pgSz w:w="11900" w:h="16838" w:orient="portrait"/>
          <w:cols w:equalWidth="0" w:num="1">
            <w:col w:w="11024"/>
          </w:cols>
          <w:pgMar w:left="436" w:top="270" w:right="4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ACKNOWLEDGEMENT</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The Company hereby acknowledges this Exercise Notice and receipt of the appropriate exercise price and hereby directs Computershare Trust Company, N.A. to issue the above indicated number of shares of Common Stock from the Company and acknowledged and agreed to by Computershare Trust Company, N.A.</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ZYMEWORKS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17145</wp:posOffset>
            </wp:positionV>
            <wp:extent cx="24599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54" w:name="page55"/>
    <w:bookmarkEnd w:id="54"/>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F</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FORM OF SECRETARY’S CERTIFICATE</w:t>
      </w:r>
    </w:p>
    <w:p>
      <w:pPr>
        <w:spacing w:after="0" w:line="218" w:lineRule="exact"/>
        <w:rPr>
          <w:sz w:val="20"/>
          <w:szCs w:val="20"/>
          <w:color w:val="auto"/>
        </w:rPr>
      </w:pPr>
    </w:p>
    <w:p>
      <w:pPr>
        <w:jc w:val="both"/>
        <w:ind w:left="4" w:right="20"/>
        <w:spacing w:after="0" w:line="258" w:lineRule="auto"/>
        <w:rPr>
          <w:sz w:val="20"/>
          <w:szCs w:val="20"/>
          <w:color w:val="auto"/>
        </w:rPr>
      </w:pPr>
      <w:r>
        <w:rPr>
          <w:rFonts w:ascii="Times New Roman" w:cs="Times New Roman" w:eastAsia="Times New Roman" w:hAnsi="Times New Roman"/>
          <w:sz w:val="18"/>
          <w:szCs w:val="18"/>
          <w:color w:val="auto"/>
        </w:rPr>
        <w:t>The undersigned hereby certifies that he is the duly elected, qualified and acting Secretary of Zymeworks Inc.,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xml:space="preserve">”), and that as such he is authorized to execute and deliver this certificate in the name and on behalf of the Company and in connection with the Securities Purchase Agreement, dated as of December 23, 2023, by and among the Company and the investors party thereto (the </w:t>
      </w:r>
      <w:r>
        <w:rPr>
          <w:rFonts w:ascii="Times New Roman" w:cs="Times New Roman" w:eastAsia="Times New Roman" w:hAnsi="Times New Roman"/>
          <w:sz w:val="18"/>
          <w:szCs w:val="18"/>
          <w:i w:val="1"/>
          <w:iCs w:val="1"/>
          <w:color w:val="auto"/>
        </w:rPr>
        <w:t>“Securities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and further certifies in his official capacity, in the name and on behalf of the Company, the items set forth below. Capitalized terms used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but not otherwise defined herein shall have the meaning set forth in the Securities Purchase Agreement.</w:t>
      </w:r>
    </w:p>
    <w:p>
      <w:pPr>
        <w:spacing w:after="0" w:line="91" w:lineRule="exact"/>
        <w:rPr>
          <w:sz w:val="20"/>
          <w:szCs w:val="20"/>
          <w:color w:val="auto"/>
        </w:rPr>
      </w:pPr>
    </w:p>
    <w:p>
      <w:pPr>
        <w:jc w:val="both"/>
        <w:ind w:left="424" w:right="20" w:hanging="424"/>
        <w:spacing w:after="0" w:line="266" w:lineRule="auto"/>
        <w:tabs>
          <w:tab w:leader="none" w:pos="42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is a true, correct and complete copy of the resolutions duly adopted by the Board of Directors of the Company and the Pricing Committee of the Board of Directors. Such resolutions have not in any way been amended, modified, revoked or rescinded, have been in full force and effect since their adoption to and including the date hereof and are now in full force and effect.</w:t>
      </w:r>
    </w:p>
    <w:p>
      <w:pPr>
        <w:spacing w:after="0" w:line="81" w:lineRule="exact"/>
        <w:rPr>
          <w:rFonts w:ascii="Times New Roman" w:cs="Times New Roman" w:eastAsia="Times New Roman" w:hAnsi="Times New Roman"/>
          <w:sz w:val="18"/>
          <w:szCs w:val="18"/>
          <w:color w:val="auto"/>
        </w:rPr>
      </w:pPr>
    </w:p>
    <w:p>
      <w:pPr>
        <w:jc w:val="both"/>
        <w:ind w:left="424" w:hanging="424"/>
        <w:spacing w:after="0" w:line="258" w:lineRule="auto"/>
        <w:tabs>
          <w:tab w:leader="none" w:pos="42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is a true, correct and complete copy of the certificate of incorporation and bylaws, respectively (collectively, the “</w:t>
      </w:r>
      <w:r>
        <w:rPr>
          <w:rFonts w:ascii="Times New Roman" w:cs="Times New Roman" w:eastAsia="Times New Roman" w:hAnsi="Times New Roman"/>
          <w:sz w:val="18"/>
          <w:szCs w:val="18"/>
          <w:i w:val="1"/>
          <w:iCs w:val="1"/>
          <w:color w:val="auto"/>
        </w:rPr>
        <w:t>Constating Documents</w:t>
      </w:r>
      <w:r>
        <w:rPr>
          <w:rFonts w:ascii="Times New Roman" w:cs="Times New Roman" w:eastAsia="Times New Roman" w:hAnsi="Times New Roman"/>
          <w:sz w:val="18"/>
          <w:szCs w:val="18"/>
          <w:color w:val="auto"/>
        </w:rPr>
        <w:t>”). No amendments to the Constating Documents have been approved by the Board of Directors, or any committee thereof, or by the stockholders of the Company, or have been filed with the Secretary of State of the State of Delaware (the “</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 and neither the Board of Directors (or any committee thereof) nor the stockholders of the Company have taken any action in contemplation of any amendment of or modification to the Constating Documents.</w:t>
      </w:r>
    </w:p>
    <w:p>
      <w:pPr>
        <w:spacing w:after="0" w:line="88" w:lineRule="exact"/>
        <w:rPr>
          <w:rFonts w:ascii="Times New Roman" w:cs="Times New Roman" w:eastAsia="Times New Roman" w:hAnsi="Times New Roman"/>
          <w:sz w:val="18"/>
          <w:szCs w:val="18"/>
          <w:color w:val="auto"/>
        </w:rPr>
      </w:pPr>
    </w:p>
    <w:p>
      <w:pPr>
        <w:jc w:val="both"/>
        <w:ind w:left="424" w:right="20" w:hanging="424"/>
        <w:spacing w:after="0" w:line="266" w:lineRule="auto"/>
        <w:tabs>
          <w:tab w:leader="none" w:pos="42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listed below has been duly elected or appointed to the position(s) indicated opposite his name and is duly authorized to sign the Securities Purchase Agreement and each of the Transaction Documents on behalf of the Company, and the signature appearing opposite such person’s name below is such person’s genuine signature.</w:t>
      </w:r>
    </w:p>
    <w:p>
      <w:pPr>
        <w:spacing w:after="0" w:line="196"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19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620" w:type="dxa"/>
            <w:vAlign w:val="bottom"/>
          </w:tcPr>
          <w:p>
            <w:pPr>
              <w:spacing w:after="0"/>
              <w:rPr>
                <w:sz w:val="15"/>
                <w:szCs w:val="15"/>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18"/>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Kenneth Galbraith</w:t>
            </w:r>
          </w:p>
        </w:tc>
        <w:tc>
          <w:tcPr>
            <w:tcW w:w="480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Chair, Chief Executive Officer and President</w:t>
            </w:r>
          </w:p>
        </w:tc>
        <w:tc>
          <w:tcPr>
            <w:tcW w:w="17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r>
        <w:trPr>
          <w:trHeight w:val="304"/>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Astle</w:t>
            </w:r>
          </w:p>
        </w:tc>
        <w:tc>
          <w:tcPr>
            <w:tcW w:w="480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17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bl>
    <w:p>
      <w:pPr>
        <w:sectPr>
          <w:pgSz w:w="11900" w:h="16838" w:orient="portrait"/>
          <w:cols w:equalWidth="0" w:num="1">
            <w:col w:w="11024"/>
          </w:cols>
          <w:pgMar w:left="436" w:top="270" w:right="439" w:bottom="1440" w:gutter="0" w:footer="0" w:header="0"/>
        </w:sectPr>
      </w:pPr>
    </w:p>
    <w:bookmarkStart w:id="55" w:name="page56"/>
    <w:bookmarkEnd w:id="55"/>
    <w:p>
      <w:pPr>
        <w:ind w:left="440"/>
        <w:spacing w:after="0"/>
        <w:tabs>
          <w:tab w:leader="none" w:pos="6740" w:val="left"/>
          <w:tab w:leader="none" w:pos="78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has hereunto set his hand as of this</w:t>
      </w:r>
      <w:r>
        <w:rPr>
          <w:sz w:val="20"/>
          <w:szCs w:val="20"/>
          <w:color w:val="auto"/>
        </w:rPr>
        <w:tab/>
      </w:r>
      <w:r>
        <w:rPr>
          <w:rFonts w:ascii="Times New Roman" w:cs="Times New Roman" w:eastAsia="Times New Roman" w:hAnsi="Times New Roman"/>
          <w:sz w:val="18"/>
          <w:szCs w:val="18"/>
          <w:color w:val="auto"/>
        </w:rPr>
        <w:t>day of</w:t>
      </w:r>
      <w:r>
        <w:rPr>
          <w:sz w:val="20"/>
          <w:szCs w:val="20"/>
          <w:color w:val="auto"/>
        </w:rPr>
        <w:tab/>
      </w:r>
      <w:r>
        <w:rPr>
          <w:rFonts w:ascii="Times New Roman" w:cs="Times New Roman" w:eastAsia="Times New Roman" w:hAnsi="Times New Roman"/>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3923665</wp:posOffset>
            </wp:positionH>
            <wp:positionV relativeFrom="paragraph">
              <wp:posOffset>-7620</wp:posOffset>
            </wp:positionV>
            <wp:extent cx="3429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4612005</wp:posOffset>
            </wp:positionH>
            <wp:positionV relativeFrom="paragraph">
              <wp:posOffset>-7620</wp:posOffset>
            </wp:positionV>
            <wp:extent cx="3429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Daniel 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Kenneth Galbraith, Chair, Chief Executive Officer and President of the Company, hereby certify that Daniel Dex is the duly elected, qualified and acting Corporate Secretary of the Company and that the signature set forth above is his true signature.</w:t>
      </w:r>
    </w:p>
    <w:p>
      <w:pPr>
        <w:spacing w:after="0" w:line="200" w:lineRule="exact"/>
        <w:rPr>
          <w:sz w:val="20"/>
          <w:szCs w:val="20"/>
          <w:color w:val="auto"/>
        </w:rPr>
      </w:pPr>
    </w:p>
    <w:p>
      <w:pPr>
        <w:spacing w:after="0" w:line="28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Kenneth Galbraith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Chair, Chief Executive Officer and President</w:t>
      </w:r>
    </w:p>
    <w:p>
      <w:pPr>
        <w:sectPr>
          <w:pgSz w:w="11900" w:h="16838" w:orient="portrait"/>
          <w:cols w:equalWidth="0" w:num="1">
            <w:col w:w="11000"/>
          </w:cols>
          <w:pgMar w:left="440" w:top="270" w:right="45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ectPr>
          <w:pgSz w:w="11900" w:h="16838" w:orient="portrait"/>
          <w:cols w:equalWidth="0" w:num="1">
            <w:col w:w="9019"/>
          </w:cols>
          <w:pgMar w:left="1440" w:top="266" w:right="1440"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Resolutions</w:t>
      </w:r>
    </w:p>
    <w:p>
      <w:pPr>
        <w:sectPr>
          <w:pgSz w:w="11900" w:h="16838" w:orient="portrait"/>
          <w:cols w:equalWidth="0" w:num="1">
            <w:col w:w="9019"/>
          </w:cols>
          <w:pgMar w:left="1440" w:top="266" w:right="1440" w:bottom="1440" w:gutter="0" w:footer="0" w:header="0"/>
          <w:type w:val="continuous"/>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Constating Documents</w:t>
      </w:r>
    </w:p>
    <w:p>
      <w:pPr>
        <w:sectPr>
          <w:pgSz w:w="11900" w:h="16838" w:orient="portrait"/>
          <w:cols w:equalWidth="0" w:num="1">
            <w:col w:w="9019"/>
          </w:cols>
          <w:pgMar w:left="1440" w:top="266" w:right="1440"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G</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 OFFICER’S CERTIFICATE</w:t>
      </w:r>
    </w:p>
    <w:p>
      <w:pPr>
        <w:spacing w:after="0" w:line="2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undersigned, Kenneth Galbraith, Chair, Chief Executive Officer and President of Zymeworks Inc.,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u w:val="single" w:color="auto"/>
          <w:color w:val="auto"/>
        </w:rPr>
        <w:t>Section 5.1(i)</w:t>
      </w:r>
      <w:r>
        <w:rPr>
          <w:rFonts w:ascii="Times New Roman" w:cs="Times New Roman" w:eastAsia="Times New Roman" w:hAnsi="Times New Roman"/>
          <w:sz w:val="18"/>
          <w:szCs w:val="18"/>
          <w:color w:val="auto"/>
        </w:rPr>
        <w:t xml:space="preserve"> of the Securities Purchase Agreement, dated as of December 23, 2023, by and among the Company and the investors signatory thereto (the “</w:t>
      </w:r>
      <w:r>
        <w:rPr>
          <w:rFonts w:ascii="Times New Roman" w:cs="Times New Roman" w:eastAsia="Times New Roman" w:hAnsi="Times New Roman"/>
          <w:sz w:val="18"/>
          <w:szCs w:val="18"/>
          <w:i w:val="1"/>
          <w:iCs w:val="1"/>
          <w:color w:val="auto"/>
        </w:rPr>
        <w:t>Securities Purchase Agreement</w:t>
      </w:r>
      <w:r>
        <w:rPr>
          <w:rFonts w:ascii="Times New Roman" w:cs="Times New Roman" w:eastAsia="Times New Roman" w:hAnsi="Times New Roman"/>
          <w:sz w:val="18"/>
          <w:szCs w:val="18"/>
          <w:color w:val="auto"/>
        </w:rPr>
        <w:t>”), hereby represents, warrants and certifies as follows (capitalized terms used but not otherwise defined herein shall have the meaning set forth in the Securities Purchase Agreement):</w:t>
      </w:r>
    </w:p>
    <w:p>
      <w:pPr>
        <w:spacing w:after="0" w:line="87" w:lineRule="exact"/>
        <w:rPr>
          <w:sz w:val="20"/>
          <w:szCs w:val="20"/>
          <w:color w:val="auto"/>
        </w:rPr>
      </w:pPr>
    </w:p>
    <w:p>
      <w:pPr>
        <w:jc w:val="both"/>
        <w:ind w:left="960" w:hanging="532"/>
        <w:spacing w:after="0" w:line="261" w:lineRule="auto"/>
        <w:tabs>
          <w:tab w:leader="none" w:pos="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contained in the Securities Purchase Agreement are true and correct in all material respects (except for those representations and warranties which are qualified as to materiality or Material Adverse Effect, in which case, such representations and warranties shall be true and correct in all respects as so qualified) as of the date when made and as of the date hereof, as though made on and as of such date, except for such representations and warranties that speak as of a specific date.</w:t>
      </w:r>
    </w:p>
    <w:p>
      <w:pPr>
        <w:spacing w:after="0" w:line="85"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performed, satisfied and complied in all material respects with all covenants, agreements and conditions required by the Transaction Documents to be performed, satisfied or complied with by it at or prior to the date hereof.</w:t>
      </w:r>
    </w:p>
    <w:p>
      <w:pPr>
        <w:spacing w:after="0" w:line="162" w:lineRule="exact"/>
        <w:rPr>
          <w:sz w:val="20"/>
          <w:szCs w:val="20"/>
          <w:color w:val="auto"/>
        </w:rPr>
      </w:pPr>
    </w:p>
    <w:p>
      <w:pPr>
        <w:spacing w:after="0"/>
        <w:tabs>
          <w:tab w:leader="none" w:pos="6100" w:val="left"/>
          <w:tab w:leader="none" w:pos="7680" w:val="left"/>
        </w:tabs>
        <w:rPr>
          <w:sz w:val="20"/>
          <w:szCs w:val="20"/>
          <w:color w:val="auto"/>
        </w:rPr>
      </w:pPr>
      <w:r>
        <w:rPr>
          <w:rFonts w:ascii="Times New Roman" w:cs="Times New Roman" w:eastAsia="Times New Roman" w:hAnsi="Times New Roman"/>
          <w:sz w:val="18"/>
          <w:szCs w:val="18"/>
          <w:color w:val="auto"/>
        </w:rPr>
        <w:t>IN WITNESS WHEREOF, the undersigned has executed this certificate this</w:t>
      </w:r>
      <w:r>
        <w:rPr>
          <w:sz w:val="20"/>
          <w:szCs w:val="20"/>
          <w:color w:val="auto"/>
        </w:rPr>
        <w:tab/>
      </w:r>
      <w:r>
        <w:rPr>
          <w:rFonts w:ascii="Times New Roman" w:cs="Times New Roman" w:eastAsia="Times New Roman" w:hAnsi="Times New Roman"/>
          <w:sz w:val="18"/>
          <w:szCs w:val="18"/>
          <w:color w:val="auto"/>
        </w:rPr>
        <w:t>day of</w:t>
      </w:r>
      <w:r>
        <w:rPr>
          <w:sz w:val="20"/>
          <w:szCs w:val="20"/>
          <w:color w:val="auto"/>
        </w:rPr>
        <w:tab/>
      </w:r>
      <w:r>
        <w:rPr>
          <w:rFonts w:ascii="Times New Roman" w:cs="Times New Roman" w:eastAsia="Times New Roman" w:hAnsi="Times New Roman"/>
          <w:sz w:val="18"/>
          <w:szCs w:val="18"/>
          <w:color w:val="auto"/>
        </w:rPr>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-7620</wp:posOffset>
            </wp:positionV>
            <wp:extent cx="137414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7414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Kenneth Galbraith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Chair, Chief Executive Officer and President</w:t>
      </w:r>
    </w:p>
    <w:p>
      <w:pPr>
        <w:sectPr>
          <w:pgSz w:w="11900" w:h="16838" w:orient="portrait"/>
          <w:cols w:equalWidth="0" w:num="1">
            <w:col w:w="11000"/>
          </w:cols>
          <w:pgMar w:left="440" w:top="270" w:right="45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H</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OF BOARD RIGHTS LETTER</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CIRCULATED SEPARATELY</w:t>
      </w:r>
      <w:r>
        <w:rPr>
          <w:rFonts w:ascii="Times New Roman" w:cs="Times New Roman" w:eastAsia="Times New Roman" w:hAnsi="Times New Roman"/>
          <w:sz w:val="20"/>
          <w:szCs w:val="20"/>
          <w:color w:val="auto"/>
        </w:rPr>
        <w:t>]</w:t>
      </w:r>
    </w:p>
    <w:p>
      <w:pPr>
        <w:sectPr>
          <w:pgSz w:w="11900" w:h="16838" w:orient="portrait"/>
          <w:cols w:equalWidth="0" w:num="1">
            <w:col w:w="9019"/>
          </w:cols>
          <w:pgMar w:left="1440" w:top="270" w:right="1440"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WIRE INSTRUCTIONS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9019"/>
          </w:cols>
          <w:pgMar w:left="1440" w:top="270" w:right="1440"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REGISTRATION RIGHTS AGREEMENT</w:t>
      </w:r>
    </w:p>
    <w:p>
      <w:pPr>
        <w:spacing w:after="0" w:line="229" w:lineRule="exact"/>
        <w:rPr>
          <w:sz w:val="20"/>
          <w:szCs w:val="20"/>
          <w:color w:val="auto"/>
        </w:rPr>
      </w:pPr>
    </w:p>
    <w:p>
      <w:pPr>
        <w:jc w:val="both"/>
        <w:ind w:left="4" w:firstLine="440"/>
        <w:spacing w:after="0" w:line="261"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December 23, 2023 by and among Zymeworks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the persons and entities listed on the attached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who are signatories to this Agreement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 Capitalized terms used herein have the respective meanings ascribed thereto in the Purchase Agreement (defined below) unless otherwise defined herein.</w:t>
      </w:r>
    </w:p>
    <w:p>
      <w:pPr>
        <w:spacing w:after="0" w:line="3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left="4"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Purchasers wish to provide for certain arrangements with respect to the registration of the resale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Registrable Securities (as defined below) by the Company under the Securities Act (as defined below) acquired pursuant to the Securities Purchase Agreement, dated as of the date hereof between the Company and each Purchaser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left="4"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mutual promises and covenants set forth herein, and other consideration, the receipt and adequacy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which are hereby acknowledged, the parties hereto agree as follows:</w:t>
      </w:r>
    </w:p>
    <w:p>
      <w:pPr>
        <w:spacing w:after="0" w:line="371" w:lineRule="exact"/>
        <w:rPr>
          <w:sz w:val="20"/>
          <w:szCs w:val="20"/>
          <w:color w:val="auto"/>
        </w:rPr>
      </w:pPr>
    </w:p>
    <w:p>
      <w:pPr>
        <w:ind w:left="5144"/>
        <w:spacing w:after="0"/>
        <w:rPr>
          <w:sz w:val="20"/>
          <w:szCs w:val="20"/>
          <w:color w:val="auto"/>
        </w:rPr>
      </w:pPr>
      <w:r>
        <w:rPr>
          <w:rFonts w:ascii="Times New Roman" w:cs="Times New Roman" w:eastAsia="Times New Roman" w:hAnsi="Times New Roman"/>
          <w:sz w:val="18"/>
          <w:szCs w:val="18"/>
          <w:b w:val="1"/>
          <w:bCs w:val="1"/>
          <w:color w:val="auto"/>
        </w:rPr>
        <w:t>Section 1.</w:t>
      </w:r>
    </w:p>
    <w:p>
      <w:pPr>
        <w:spacing w:after="0" w:line="31" w:lineRule="exact"/>
        <w:rPr>
          <w:sz w:val="20"/>
          <w:szCs w:val="20"/>
          <w:color w:val="auto"/>
        </w:rPr>
      </w:pPr>
    </w:p>
    <w:p>
      <w:pPr>
        <w:ind w:left="5084"/>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184" w:hanging="184"/>
        <w:spacing w:after="0"/>
        <w:tabs>
          <w:tab w:leader="none" w:pos="18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As used in this Agreement, the following terms shall have the following meanings:</w:t>
      </w:r>
    </w:p>
    <w:p>
      <w:pPr>
        <w:spacing w:after="0" w:line="117" w:lineRule="exact"/>
        <w:rPr>
          <w:rFonts w:ascii="Times New Roman" w:cs="Times New Roman" w:eastAsia="Times New Roman" w:hAnsi="Times New Roman"/>
          <w:sz w:val="18"/>
          <w:szCs w:val="18"/>
          <w:color w:val="auto"/>
        </w:rPr>
      </w:pPr>
    </w:p>
    <w:p>
      <w:pPr>
        <w:jc w:val="both"/>
        <w:ind w:left="4" w:right="20" w:firstLine="987"/>
        <w:spacing w:after="0" w:line="266" w:lineRule="auto"/>
        <w:tabs>
          <w:tab w:leader="none" w:pos="116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Saturday, Sunday, any day which is a federal legal holiday in the United States or Canada or any day on which banking institutions in the State of New York or Province of British Columbia are authorized or required by law or other governmental action to close.</w:t>
      </w:r>
    </w:p>
    <w:p>
      <w:pPr>
        <w:spacing w:after="0" w:line="67" w:lineRule="exact"/>
        <w:rPr>
          <w:rFonts w:ascii="Times New Roman" w:cs="Times New Roman" w:eastAsia="Times New Roman" w:hAnsi="Times New Roman"/>
          <w:sz w:val="18"/>
          <w:szCs w:val="18"/>
          <w:color w:val="auto"/>
        </w:rPr>
      </w:pPr>
    </w:p>
    <w:p>
      <w:pPr>
        <w:ind w:left="1164" w:hanging="173"/>
        <w:spacing w:after="0"/>
        <w:tabs>
          <w:tab w:leader="none" w:pos="116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shall mean the common stock of the Company, $0.00001 par value per share.</w:t>
      </w:r>
    </w:p>
    <w:p>
      <w:pPr>
        <w:spacing w:after="0" w:line="225" w:lineRule="exact"/>
        <w:rPr>
          <w:rFonts w:ascii="Times New Roman" w:cs="Times New Roman" w:eastAsia="Times New Roman" w:hAnsi="Times New Roman"/>
          <w:sz w:val="18"/>
          <w:szCs w:val="18"/>
          <w:color w:val="auto"/>
        </w:rPr>
      </w:pPr>
    </w:p>
    <w:p>
      <w:pPr>
        <w:jc w:val="both"/>
        <w:ind w:left="4" w:firstLine="987"/>
        <w:spacing w:after="0" w:line="266" w:lineRule="auto"/>
        <w:tabs>
          <w:tab w:leader="none" w:pos="117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Deadline</w:t>
      </w:r>
      <w:r>
        <w:rPr>
          <w:rFonts w:ascii="Times New Roman" w:cs="Times New Roman" w:eastAsia="Times New Roman" w:hAnsi="Times New Roman"/>
          <w:sz w:val="18"/>
          <w:szCs w:val="18"/>
          <w:color w:val="auto"/>
        </w:rPr>
        <w:t xml:space="preserve">” means, with respect to the Registration Statement or Final Prospectus, as applicable, the later of April 29, 2024 and the 123rd calendar day following the Closing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Effectiveness Deadline falls on a Saturday, Sunday or other day that the SEC is closed for business, the Effectiveness Deadline shall be extended to the next Business Day on which the SEC is open for business.</w:t>
      </w:r>
    </w:p>
    <w:p>
      <w:pPr>
        <w:spacing w:after="0" w:line="175" w:lineRule="exact"/>
        <w:rPr>
          <w:rFonts w:ascii="Times New Roman" w:cs="Times New Roman" w:eastAsia="Times New Roman" w:hAnsi="Times New Roman"/>
          <w:sz w:val="18"/>
          <w:szCs w:val="18"/>
          <w:color w:val="auto"/>
        </w:rPr>
      </w:pPr>
    </w:p>
    <w:p>
      <w:pPr>
        <w:ind w:left="4" w:right="20" w:firstLine="987"/>
        <w:spacing w:after="0" w:line="282" w:lineRule="auto"/>
        <w:tabs>
          <w:tab w:leader="none" w:pos="117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 as amended, or any similar successor federal statute and the rules and regulations thereunder, all as the same shall be in effect from time to time.</w:t>
      </w:r>
    </w:p>
    <w:p>
      <w:pPr>
        <w:spacing w:after="0" w:line="161" w:lineRule="exact"/>
        <w:rPr>
          <w:rFonts w:ascii="Times New Roman" w:cs="Times New Roman" w:eastAsia="Times New Roman" w:hAnsi="Times New Roman"/>
          <w:sz w:val="18"/>
          <w:szCs w:val="18"/>
          <w:color w:val="auto"/>
        </w:rPr>
      </w:pPr>
    </w:p>
    <w:p>
      <w:pPr>
        <w:ind w:left="4" w:right="20" w:firstLine="987"/>
        <w:spacing w:after="0" w:line="282" w:lineRule="auto"/>
        <w:tabs>
          <w:tab w:leader="none" w:pos="116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 means the Purchasers identified in the Purchase Agreement and any Affiliate or permitted transferee of any Purchaser who is a subsequent holder of Registrable Securities.</w:t>
      </w:r>
    </w:p>
    <w:p>
      <w:pPr>
        <w:spacing w:after="0" w:line="161" w:lineRule="exact"/>
        <w:rPr>
          <w:rFonts w:ascii="Times New Roman" w:cs="Times New Roman" w:eastAsia="Times New Roman" w:hAnsi="Times New Roman"/>
          <w:sz w:val="18"/>
          <w:szCs w:val="18"/>
          <w:color w:val="auto"/>
        </w:rPr>
      </w:pPr>
    </w:p>
    <w:p>
      <w:pPr>
        <w:jc w:val="both"/>
        <w:ind w:left="4" w:right="20" w:firstLine="987"/>
        <w:spacing w:after="0" w:line="261" w:lineRule="auto"/>
        <w:tabs>
          <w:tab w:leader="none" w:pos="118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(i)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 (ii) any “free writing prospectus” as defined in Rule 405 under the Securities Act.</w:t>
      </w:r>
    </w:p>
    <w:p>
      <w:pPr>
        <w:spacing w:after="0" w:line="179" w:lineRule="exact"/>
        <w:rPr>
          <w:rFonts w:ascii="Times New Roman" w:cs="Times New Roman" w:eastAsia="Times New Roman" w:hAnsi="Times New Roman"/>
          <w:sz w:val="18"/>
          <w:szCs w:val="18"/>
          <w:color w:val="auto"/>
        </w:rPr>
      </w:pPr>
    </w:p>
    <w:p>
      <w:pPr>
        <w:jc w:val="both"/>
        <w:ind w:left="4" w:right="20" w:firstLine="987"/>
        <w:spacing w:after="0" w:line="266" w:lineRule="auto"/>
        <w:tabs>
          <w:tab w:leader="none" w:pos="1202"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refer to a registration made by preparing and filing a Registration Statement or Final Prospectus, as applicable, or similar document in compliance with the Securities Act, and the declaration or ordering of effectiveness of such Registration Statement or Final Prospectus, as applicable, or document.</w:t>
      </w:r>
    </w:p>
    <w:p>
      <w:pPr>
        <w:spacing w:after="0" w:line="175" w:lineRule="exact"/>
        <w:rPr>
          <w:rFonts w:ascii="Times New Roman" w:cs="Times New Roman" w:eastAsia="Times New Roman" w:hAnsi="Times New Roman"/>
          <w:sz w:val="18"/>
          <w:szCs w:val="18"/>
          <w:color w:val="auto"/>
        </w:rPr>
      </w:pPr>
    </w:p>
    <w:p>
      <w:pPr>
        <w:jc w:val="both"/>
        <w:ind w:left="4" w:firstLine="987"/>
        <w:spacing w:after="0" w:line="255" w:lineRule="auto"/>
        <w:tabs>
          <w:tab w:leader="none" w:pos="1202"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means (i) any shares of Common Stock issued or issuable upon the exercise of the pre-funded warrants acquired by the Purchasers pursuant to the Purchase Agreement (“</w:t>
      </w:r>
      <w:r>
        <w:rPr>
          <w:rFonts w:ascii="Times New Roman" w:cs="Times New Roman" w:eastAsia="Times New Roman" w:hAnsi="Times New Roman"/>
          <w:sz w:val="18"/>
          <w:szCs w:val="18"/>
          <w:u w:val="single" w:color="auto"/>
          <w:color w:val="auto"/>
        </w:rPr>
        <w:t>Pre-Funded Warrant Shares</w:t>
      </w:r>
      <w:r>
        <w:rPr>
          <w:rFonts w:ascii="Times New Roman" w:cs="Times New Roman" w:eastAsia="Times New Roman" w:hAnsi="Times New Roman"/>
          <w:sz w:val="18"/>
          <w:szCs w:val="18"/>
          <w:color w:val="auto"/>
        </w:rPr>
        <w:t xml:space="preserve">”) and (ii) any other securities issued or issuable with respect to or in exchange for Registrable Securities, whether by merger, charter amendment or otherwise;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 security shall cease to be a Registrable Security upon (A) sale pursuant to a Registration Statement or Final Prospectus, as applicable, or Rule 144 under the Securities Act, or</w:t>
      </w:r>
    </w:p>
    <w:p>
      <w:pPr>
        <w:spacing w:after="0" w:line="2" w:lineRule="exact"/>
        <w:rPr>
          <w:rFonts w:ascii="Times New Roman" w:cs="Times New Roman" w:eastAsia="Times New Roman" w:hAnsi="Times New Roman"/>
          <w:sz w:val="18"/>
          <w:szCs w:val="18"/>
          <w:color w:val="auto"/>
        </w:rPr>
      </w:pPr>
    </w:p>
    <w:p>
      <w:pPr>
        <w:ind w:left="4"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such security becoming eligible for sale without the requirement for the Company to be in compliance with the current public information required under Rule 144 as to such Registrable Securities and without volume or manner-of-sale restrictions.</w:t>
      </w:r>
    </w:p>
    <w:p>
      <w:pPr>
        <w:sectPr>
          <w:pgSz w:w="11900" w:h="16838" w:orient="portrait"/>
          <w:cols w:equalWidth="0" w:num="1">
            <w:col w:w="11024"/>
          </w:cols>
          <w:pgMar w:left="436" w:top="117" w:right="439" w:bottom="1440" w:gutter="0" w:footer="0" w:header="0"/>
        </w:sectPr>
      </w:pPr>
    </w:p>
    <w:bookmarkStart w:id="62" w:name="page63"/>
    <w:bookmarkEnd w:id="62"/>
    <w:p>
      <w:pPr>
        <w:jc w:val="both"/>
        <w:ind w:right="2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any registration statement of the Company that covers the resale of any of the Registrable Securities pursuant to the provisions of this Agreement filed with, or to be filed with, the SEC under the Securities Act (as defined below), including the related prospectus, amendments and supplements to such registration statement, including pre- and post-effective amendments, and all exhibits and all material incorporated by reference in such registration statement as may be necessary to comply with applicable securities laws.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Required Purchasers</w:t>
      </w:r>
      <w:r>
        <w:rPr>
          <w:rFonts w:ascii="Times New Roman" w:cs="Times New Roman" w:eastAsia="Times New Roman" w:hAnsi="Times New Roman"/>
          <w:sz w:val="18"/>
          <w:szCs w:val="18"/>
          <w:color w:val="auto"/>
        </w:rPr>
        <w:t>” means the Purchasers holding a majority of the Registrable Securities outstanding from time to time.</w:t>
      </w:r>
    </w:p>
    <w:p>
      <w:pPr>
        <w:spacing w:after="0" w:line="225"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mean the Securities Act of 1933, as amended, or any similar successor federal statute and the rules and regulations thereunder, all as the same shall be in effect from time to time.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Resale Registration Rights</w:t>
      </w:r>
    </w:p>
    <w:p>
      <w:pPr>
        <w:spacing w:after="0" w:line="207" w:lineRule="exact"/>
        <w:rPr>
          <w:sz w:val="20"/>
          <w:szCs w:val="20"/>
          <w:color w:val="auto"/>
        </w:rPr>
      </w:pPr>
    </w:p>
    <w:p>
      <w:pPr>
        <w:ind w:left="620" w:hanging="184"/>
        <w:spacing w:after="0"/>
        <w:tabs>
          <w:tab w:leader="none" w:pos="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Registration Statements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right="20" w:firstLine="1428"/>
        <w:spacing w:after="0" w:line="254" w:lineRule="auto"/>
        <w:tabs>
          <w:tab w:leader="none" w:pos="1577"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earlier of (i) March 15, 2024 and (ii) the first Business Day following the date that the Company files its Annual Report on Form 10-K for the fiscal year ended December 31, 2023 (the “</w:t>
      </w:r>
      <w:r>
        <w:rPr>
          <w:rFonts w:ascii="Times New Roman" w:cs="Times New Roman" w:eastAsia="Times New Roman" w:hAnsi="Times New Roman"/>
          <w:sz w:val="18"/>
          <w:szCs w:val="18"/>
          <w:u w:val="single" w:color="auto"/>
          <w:color w:val="auto"/>
        </w:rPr>
        <w:t>Filing Deadline</w:t>
      </w:r>
      <w:r>
        <w:rPr>
          <w:rFonts w:ascii="Times New Roman" w:cs="Times New Roman" w:eastAsia="Times New Roman" w:hAnsi="Times New Roman"/>
          <w:sz w:val="18"/>
          <w:szCs w:val="18"/>
          <w:color w:val="auto"/>
        </w:rPr>
        <w:t>”), the Company shall prepare and file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one (1) Registration Statement covering the resale of all of the Registrable Securities. Subject to any SEC comments, such Registration Statement shall include the plan of distribution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Such Registration Statement also shall cover, to the extent allowable under the Securities Act and the rules promulgated thereunder (including Rule 416), such indeterminate number of additional shares of Common Stock resulting from stock splits, stock dividends or similar transactions with respect to the Registrable Securities. Such Registration Statement shall not include any shares of Common Stock or other securities for the account of any other holder without the written consent of the Required Purchasers. Such Registration Statement (and each amendment or supplement thereto, and each request for acceleration of effectiveness thereof) shall be provided in accordance with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to the Purchasers prior to its filing or other submission.</w:t>
      </w:r>
    </w:p>
    <w:p>
      <w:pPr>
        <w:spacing w:after="0" w:line="186" w:lineRule="exact"/>
        <w:rPr>
          <w:rFonts w:ascii="Times New Roman" w:cs="Times New Roman" w:eastAsia="Times New Roman" w:hAnsi="Times New Roman"/>
          <w:sz w:val="18"/>
          <w:szCs w:val="18"/>
          <w:color w:val="auto"/>
        </w:rPr>
      </w:pPr>
    </w:p>
    <w:p>
      <w:pPr>
        <w:jc w:val="both"/>
        <w:ind w:firstLine="1428"/>
        <w:spacing w:after="0" w:line="253" w:lineRule="auto"/>
        <w:tabs>
          <w:tab w:leader="none" w:pos="1624"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Registration Statement referred to in </w:t>
      </w:r>
      <w:r>
        <w:rPr>
          <w:rFonts w:ascii="Times New Roman" w:cs="Times New Roman" w:eastAsia="Times New Roman" w:hAnsi="Times New Roman"/>
          <w:sz w:val="18"/>
          <w:szCs w:val="18"/>
          <w:u w:val="single" w:color="auto"/>
          <w:color w:val="auto"/>
        </w:rPr>
        <w:t>Section 2(a)(i)</w:t>
      </w:r>
      <w:r>
        <w:rPr>
          <w:rFonts w:ascii="Times New Roman" w:cs="Times New Roman" w:eastAsia="Times New Roman" w:hAnsi="Times New Roman"/>
          <w:sz w:val="18"/>
          <w:szCs w:val="18"/>
          <w:color w:val="auto"/>
        </w:rPr>
        <w:t xml:space="preserve"> shall be on Form S-3;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Company has and maintains at any time an effective Registration Statement on Form S-3ASR that provides for the resale of an unlimited number of securities by selling stockholders (a “</w:t>
      </w:r>
      <w:r>
        <w:rPr>
          <w:rFonts w:ascii="Times New Roman" w:cs="Times New Roman" w:eastAsia="Times New Roman" w:hAnsi="Times New Roman"/>
          <w:sz w:val="18"/>
          <w:szCs w:val="18"/>
          <w:u w:val="single" w:color="auto"/>
          <w:color w:val="auto"/>
        </w:rPr>
        <w:t>Company Registration Shelf</w:t>
      </w:r>
      <w:r>
        <w:rPr>
          <w:rFonts w:ascii="Times New Roman" w:cs="Times New Roman" w:eastAsia="Times New Roman" w:hAnsi="Times New Roman"/>
          <w:sz w:val="18"/>
          <w:szCs w:val="18"/>
          <w:color w:val="auto"/>
        </w:rPr>
        <w:t xml:space="preserve">”), then the Company shall not be obligated to effect, or to take any action to effect, a registration pursuant to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and instead shall file with the SEC a “final” prospectus supplement to its Company Registration Shelf covering the resale of the Registrable Securities by the Purchasers (the “</w:t>
      </w:r>
      <w:r>
        <w:rPr>
          <w:rFonts w:ascii="Times New Roman" w:cs="Times New Roman" w:eastAsia="Times New Roman" w:hAnsi="Times New Roman"/>
          <w:sz w:val="18"/>
          <w:szCs w:val="18"/>
          <w:u w:val="single" w:color="auto"/>
          <w:color w:val="auto"/>
        </w:rPr>
        <w:t>Final Prospectus</w:t>
      </w:r>
      <w:r>
        <w:rPr>
          <w:rFonts w:ascii="Times New Roman" w:cs="Times New Roman" w:eastAsia="Times New Roman" w:hAnsi="Times New Roman"/>
          <w:sz w:val="18"/>
          <w:szCs w:val="18"/>
          <w:color w:val="auto"/>
        </w:rPr>
        <w:t>”) prior to the Filing Deadline. The Final Prospectus shall include the information required under Item 507 of Regulation S-K of the Securities Act, which information shall be provided by the Purchasers. If Form S-3 is not available for the registration of the resale of Registrable Securities hereunder, the Company shall (i) register the resale of the Registrable Securities on such other form as is available to the Company and (ii) so long as Registrable Securities remain outstanding, promptly following the date (the “</w:t>
      </w:r>
      <w:r>
        <w:rPr>
          <w:rFonts w:ascii="Times New Roman" w:cs="Times New Roman" w:eastAsia="Times New Roman" w:hAnsi="Times New Roman"/>
          <w:sz w:val="18"/>
          <w:szCs w:val="18"/>
          <w:u w:val="single" w:color="auto"/>
          <w:color w:val="auto"/>
        </w:rPr>
        <w:t>Qualification Date</w:t>
      </w:r>
      <w:r>
        <w:rPr>
          <w:rFonts w:ascii="Times New Roman" w:cs="Times New Roman" w:eastAsia="Times New Roman" w:hAnsi="Times New Roman"/>
          <w:sz w:val="18"/>
          <w:szCs w:val="18"/>
          <w:color w:val="auto"/>
        </w:rPr>
        <w:t>”) upon which the Company becomes eligible to use a registration statement on Form S-3 to register the Registrable Securities for resale, but in no event more than sixty (60) days after the Qualification Date (the “</w:t>
      </w:r>
      <w:r>
        <w:rPr>
          <w:rFonts w:ascii="Times New Roman" w:cs="Times New Roman" w:eastAsia="Times New Roman" w:hAnsi="Times New Roman"/>
          <w:sz w:val="18"/>
          <w:szCs w:val="18"/>
          <w:u w:val="single" w:color="auto"/>
          <w:color w:val="auto"/>
        </w:rPr>
        <w:t>Qualification Deadline</w:t>
      </w:r>
      <w:r>
        <w:rPr>
          <w:rFonts w:ascii="Times New Roman" w:cs="Times New Roman" w:eastAsia="Times New Roman" w:hAnsi="Times New Roman"/>
          <w:sz w:val="18"/>
          <w:szCs w:val="18"/>
          <w:color w:val="auto"/>
        </w:rPr>
        <w:t>”), the Company shall file a registration statement on Form S-3 covering the Registrable Securities (or a post-effective amendment on Form S-3 to a registration statement on Form S-1) (a “</w:t>
      </w:r>
      <w:r>
        <w:rPr>
          <w:rFonts w:ascii="Times New Roman" w:cs="Times New Roman" w:eastAsia="Times New Roman" w:hAnsi="Times New Roman"/>
          <w:sz w:val="18"/>
          <w:szCs w:val="18"/>
          <w:u w:val="single" w:color="auto"/>
          <w:color w:val="auto"/>
        </w:rPr>
        <w:t>Shelf Registration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maintain the effectiveness of the Registration Statement then in effect until such time as a Shelf Registration Statement covering the Registrable Securities has been declared effective by the SEC.</w:t>
      </w:r>
    </w:p>
    <w:p>
      <w:pPr>
        <w:sectPr>
          <w:pgSz w:w="11900" w:h="16838" w:orient="portrait"/>
          <w:cols w:equalWidth="0" w:num="1">
            <w:col w:w="11020"/>
          </w:cols>
          <w:pgMar w:left="440" w:top="270" w:right="439" w:bottom="1440" w:gutter="0" w:footer="0" w:header="0"/>
        </w:sectPr>
      </w:pPr>
    </w:p>
    <w:bookmarkStart w:id="63" w:name="page64"/>
    <w:bookmarkEnd w:id="63"/>
    <w:p>
      <w:pPr>
        <w:jc w:val="both"/>
        <w:ind w:left="4"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Company will pay all reasonable expenses associated with the filing of any Registration Statement or Final Prospectus, as applicable, including filing and printing fees, the Company’s counsel and accounting fees and expenses, costs associated with clearing the Registrable Securities for sale under applicable state securities laws and listing fees, but excluding discounts, commissions and fees of underwriters, selling brokers, dealer managers or similar securities industry professionals with respect to the Registrable Securities being sold, which shall be borne by the Purchasers. For the avoidance of doubt, the fees and expenses of the Purchaser’s counsel shall be the responsibility of such Purchaser, and not the Company.</w:t>
      </w:r>
    </w:p>
    <w:p>
      <w:pPr>
        <w:spacing w:after="0" w:line="183" w:lineRule="exact"/>
        <w:rPr>
          <w:sz w:val="20"/>
          <w:szCs w:val="20"/>
          <w:color w:val="auto"/>
        </w:rPr>
      </w:pPr>
    </w:p>
    <w:p>
      <w:pPr>
        <w:ind w:left="1164" w:hanging="173"/>
        <w:spacing w:after="0"/>
        <w:tabs>
          <w:tab w:leader="none" w:pos="116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right="20" w:firstLine="1428"/>
        <w:spacing w:after="0" w:line="258" w:lineRule="auto"/>
        <w:tabs>
          <w:tab w:leader="none" w:pos="1597"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commercially reasonable efforts to have the Registration Statement or Final Prospectus, as applicable, declared effective as soon as practicable, but no later than the Effectiveness Deadline. The Company shall notify the Purchasers by e-mail as promptly as practicable, and in any event, within 48 hours, after any Registration Statement or Final Prospectus, as applicable, is declared effective and shall simultaneously provide the Purchasers with copies of any related Prospectus to be used in connection with the sale or other disposition of the securities covered thereby.</w:t>
      </w:r>
    </w:p>
    <w:p>
      <w:pPr>
        <w:spacing w:after="0" w:line="183" w:lineRule="exact"/>
        <w:rPr>
          <w:rFonts w:ascii="Times New Roman" w:cs="Times New Roman" w:eastAsia="Times New Roman" w:hAnsi="Times New Roman"/>
          <w:sz w:val="18"/>
          <w:szCs w:val="18"/>
          <w:color w:val="auto"/>
        </w:rPr>
      </w:pPr>
    </w:p>
    <w:p>
      <w:pPr>
        <w:jc w:val="both"/>
        <w:ind w:left="4" w:right="20" w:firstLine="1428"/>
        <w:spacing w:after="0" w:line="257" w:lineRule="auto"/>
        <w:tabs>
          <w:tab w:leader="none" w:pos="1644"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not more than thirty (30) consecutive calendar days (or forty-five (45) consecutive calendar days if the Company receives comments on its Annual Report on Form 10-K or if the Company has filed or amended a Registration Statement or Final Prospectus, as applicable, relating to resales of the Registrable Securities and such filing or amendment is not automatically effective) or for a total of not more than sixty</w:t>
      </w:r>
    </w:p>
    <w:p>
      <w:pPr>
        <w:spacing w:after="0" w:line="1"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37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in any twelve (12) month period, the Company may suspend the use of any Prospectus included in any Registration Statement or Final Prospectus, as applicable, contemplated by this Section if the Company determines in good faith that such suspension is necessary to (A) delay the disclosure of material non-public information concerning the Company, the disclosure of which at the time is not, in the good faith opinion of the Company, in the best interests of the Company, (B) amend or supplement the affected Registration Statement or Final Prospectus, as applicable, or the related Prospectus so that such Registration Statement or Final Prospectus, as applicable,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or (C) amend any Company Registration Shelf as necessary to convert it into a different form (an “</w:t>
      </w:r>
      <w:r>
        <w:rPr>
          <w:rFonts w:ascii="Times New Roman" w:cs="Times New Roman" w:eastAsia="Times New Roman" w:hAnsi="Times New Roman"/>
          <w:sz w:val="18"/>
          <w:szCs w:val="18"/>
          <w:u w:val="single" w:color="auto"/>
          <w:color w:val="auto"/>
        </w:rPr>
        <w:t>Allowed Delay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Company shall promptly (a) notify each Purchaser in writing of the commencement of an Allowed Delay, but shall not (without the prior written consent of a Purchaser) disclose to such Purchaser any material non-public information giving rise to an Allowed Delay, (b) advise the Purchasers in writing to cease all sales under such Registration Statement or Final Prospectus, as applicable, until the end of the Allowed Delay and (c) use commercially reasonable efforts to terminate an Allowed Delay as promptly as practicable.</w:t>
      </w:r>
    </w:p>
    <w:p>
      <w:pPr>
        <w:spacing w:after="0" w:line="192" w:lineRule="exact"/>
        <w:rPr>
          <w:rFonts w:ascii="Times New Roman" w:cs="Times New Roman" w:eastAsia="Times New Roman" w:hAnsi="Times New Roman"/>
          <w:sz w:val="18"/>
          <w:szCs w:val="18"/>
          <w:color w:val="auto"/>
        </w:rPr>
      </w:pPr>
    </w:p>
    <w:p>
      <w:pPr>
        <w:jc w:val="both"/>
        <w:ind w:left="4" w:right="20" w:firstLine="1428"/>
        <w:spacing w:after="0" w:line="256" w:lineRule="auto"/>
        <w:tabs>
          <w:tab w:leader="none" w:pos="1685"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Deadline for a Registration Statement or Final Prospectus, as applicable, with respect to each Purchaser shall be extended without default or liquidated damages hereunder if the Company’s failure to obtain the effectiveness of the Registration Statement or Final Prospectus, as applicable, on a timely basis with respect to such Purchaser results from the failure of such Purchaser to timely provide the Company with information requested by the Company and necessary to complete the Registration Statement or Final Prospectus, as applicable, in accordance with the requirements of the Securities Act (in which case the Effectiveness Deadline would be extended with respect to Registrable Securities held by such Purchaser).</w:t>
      </w:r>
    </w:p>
    <w:p>
      <w:pPr>
        <w:sectPr>
          <w:pgSz w:w="11900" w:h="16838" w:orient="portrait"/>
          <w:cols w:equalWidth="0" w:num="1">
            <w:col w:w="11024"/>
          </w:cols>
          <w:pgMar w:left="436" w:top="270" w:right="439" w:bottom="1440" w:gutter="0" w:footer="0" w:header="0"/>
        </w:sectPr>
      </w:pPr>
    </w:p>
    <w:bookmarkStart w:id="64" w:name="page65"/>
    <w:bookmarkEnd w:id="64"/>
    <w:p>
      <w:pPr>
        <w:jc w:val="both"/>
        <w:ind w:left="4" w:firstLine="991"/>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 </w:t>
      </w:r>
      <w:r>
        <w:rPr>
          <w:rFonts w:ascii="Times New Roman" w:cs="Times New Roman" w:eastAsia="Times New Roman" w:hAnsi="Times New Roman"/>
          <w:sz w:val="18"/>
          <w:szCs w:val="18"/>
          <w:u w:val="single" w:color="auto"/>
          <w:color w:val="auto"/>
        </w:rPr>
        <w:t>Rule 415; Cutback</w:t>
      </w:r>
      <w:r>
        <w:rPr>
          <w:rFonts w:ascii="Times New Roman" w:cs="Times New Roman" w:eastAsia="Times New Roman" w:hAnsi="Times New Roman"/>
          <w:sz w:val="18"/>
          <w:szCs w:val="18"/>
          <w:color w:val="auto"/>
        </w:rPr>
        <w:t xml:space="preserve">. If at any time the SEC takes the position that the offering of some or all of the Registrable Securities in a Registration Statement or Final Prospectus, as applicable, is not eligible to be made on a delayed or continuous basis under the provisions of Rule 415 under the Securities Act or requires any Purchaser to be named as an “underwriter,” the Company shall use commercially reasonable efforts to persuade the SEC that the offering contemplated by such Registration Statement or Final Prospectus, as applicable, is a valid secondary offering and not an offering “by or on behalf of the issuer” as defined in Rule 415 and that none of the Purchasers is an “underwriter.” The Purchasers shall have the right to select one legal counsel designated by the holders of a majority of the Registrable Securities to review and oversee any registration or matters pursuant to this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including participation in any meetings or discussions with the SEC regarding the SEC’s position and to comment on any written submission made to the SEC with respect thereto. No such written submission with respect to this matter shall be made to the SEC to which the Purchasers’ counsel reasonably objects. If, despite the Company’s commercially reasonable efforts and compliance with the terms of this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the SEC refuses to alter its position, the Company shall (i) remove from such Registration Statement or Final Prospectus, as applicable, such portion of the Registrable Securities (the “</w:t>
      </w:r>
      <w:r>
        <w:rPr>
          <w:rFonts w:ascii="Times New Roman" w:cs="Times New Roman" w:eastAsia="Times New Roman" w:hAnsi="Times New Roman"/>
          <w:sz w:val="18"/>
          <w:szCs w:val="18"/>
          <w:u w:val="single" w:color="auto"/>
          <w:color w:val="auto"/>
        </w:rPr>
        <w:t>Cut Back Shares</w:t>
      </w:r>
      <w:r>
        <w:rPr>
          <w:rFonts w:ascii="Times New Roman" w:cs="Times New Roman" w:eastAsia="Times New Roman" w:hAnsi="Times New Roman"/>
          <w:sz w:val="18"/>
          <w:szCs w:val="18"/>
          <w:color w:val="auto"/>
        </w:rPr>
        <w:t>”) and/or (ii) agree to such restrictions and limitations on the registration and resale of the Registrable Securities as the SEC may require to assure the Company’s compliance with the requirements of Rule 415 (collectively, the “</w:t>
      </w:r>
      <w:r>
        <w:rPr>
          <w:rFonts w:ascii="Times New Roman" w:cs="Times New Roman" w:eastAsia="Times New Roman" w:hAnsi="Times New Roman"/>
          <w:sz w:val="18"/>
          <w:szCs w:val="18"/>
          <w:u w:val="single" w:color="auto"/>
          <w:color w:val="auto"/>
        </w:rPr>
        <w:t>SEC Restrictions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agree to name any Purchaser as an “underwriter” in such Registration Statement or Final Prospectus,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applicable, without the prior written consent of such Purchaser. Any cut-back imposed on the Purchasers pursuant to this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shall be allocated among the Purchasers on a pro rata basis and shall be applied first to any of the Registrable Securities of such Purchaser as such Purchaser shall designate, unless the SEC Restrictions otherwise require or provide or the Purchasers otherwise agree. In furtherance of the foregoing, each Purchaser shall provide the Company with prompt written notice of its sale of substantially all of the Registrable Securities under such Registration Statement or Final Prospectus, as applicable, such that the Company will be able to file one or more additional Registration Statements covering the Cut Back Shares. From and after the Restriction Termination Date (as defined below) applicable to any Cut Back Shares, all of the provisions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(including the Company’s obligations with respect to the filing of a Registration Statement or Final Prospectus, as applicable, and its obligations to use commercially reasonable efforts to have such Registration Statement or Final Prospectus, as applicable, declared effective within the time periods set forth herein and the liquidated damages provisions relating thereto) shall again be applicable to such Cut Back Shares;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 the Filing Deadline and/or the Qualification Deadline, as applicable, for such Registration Statement or Final Prospectus, as applicable, including such Cut Back Shares shall be ten (10) Business Days after such Restriction Termination Date, and (ii) the date by which the Company is required to obtain effectiveness with respect to such Cut Back Shares shall be the 120th day immediately after the Restriction Termination Date.</w:t>
      </w:r>
    </w:p>
    <w:p>
      <w:pPr>
        <w:spacing w:after="0" w:line="20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1432"/>
        <w:spacing w:after="0" w:line="253" w:lineRule="auto"/>
        <w:rPr>
          <w:sz w:val="20"/>
          <w:szCs w:val="20"/>
          <w:color w:val="auto"/>
        </w:rPr>
      </w:pPr>
      <w:r>
        <w:rPr>
          <w:rFonts w:ascii="Times New Roman" w:cs="Times New Roman" w:eastAsia="Times New Roman" w:hAnsi="Times New Roman"/>
          <w:sz w:val="18"/>
          <w:szCs w:val="18"/>
          <w:color w:val="auto"/>
        </w:rPr>
        <w:t>i. If (A) a Registration Statement or Final Prospectus, as applicable, covering the Registrable Securities is not filed with the SEC on or prior to the Filing Deadline; (B) a Registration Statement or Final Prospectus, as applicable, covering the Registrable Securities is not declared effective by the SEC prior to the earlier of (i) ten (10) Business Days after the SEC informs the Company that no review of such Registration Statement or Final Prospectus, as applicable, will be made or that the SEC has no further comments on such Registration Statement or Final Prospectus, as applicable, and (ii) the Effectiveness Deadline, or (C) after a Registration Statement or Final Prospectus, as applicable, has been declared effective by the SEC, sales cannot be made pursuant to such Registration Statement or Final Prospectus, as applicable, for any reason (including without limitation by reason of a stop order, or the Company’s failure to update such Registration Statement or Final Prospectus, as applicable, but excluding any Allowed Delay), the Company will make pro rata payments to each Purchaser then holding Registrable Securities, as liquidated damages and not as a penalty, in an amount equal to one percent (1%) of the aggregate purchase price paid by such Purchaser pursuant to the Purchase Agreement for any shares of Common Stock held by such Purchaser pursuant to the exercise of Pre-Funded Warrants but not for any unissued Pre-Funded Warrant Shares for each 30-day period or pro rata for any portion thereof (x) following the Filing Deadline for which no Registration Statement or Final Prospectus, as applicable, is filed with respect to the Registrable Securities or (y) during which such Registration Statement or Final Prospectus, as applicable, is unavailable, as applicable. Payment of such liquidated damages shall be the Purchasers’ exclusive remedy for such events.</w:t>
      </w:r>
    </w:p>
    <w:p>
      <w:pPr>
        <w:spacing w:after="0" w:line="187" w:lineRule="exact"/>
        <w:rPr>
          <w:sz w:val="20"/>
          <w:szCs w:val="20"/>
          <w:color w:val="auto"/>
        </w:rPr>
      </w:pPr>
    </w:p>
    <w:p>
      <w:pPr>
        <w:jc w:val="both"/>
        <w:ind w:left="4" w:firstLine="1428"/>
        <w:spacing w:after="0" w:line="255" w:lineRule="auto"/>
        <w:tabs>
          <w:tab w:leader="none" w:pos="162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the parties agree that no such liquidated damages shall be payable with respect to any period after the Registration Statement or Final Prospectus, as applicable, has been declared effective as set forth in the terms of this Agreement (it being understood that this sentence shall not relieve the Company of any liquidated damages accruing prior to the end of the Effectiveness Period). Further, in no event shall (A) the aggregate amount of liquidated damages payable pursuant to this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xml:space="preserve"> to a Purchaser exceed, in the aggregate, six percent (6%) of the aggregate purchase price paid by such Purchaser pursuant to the Purchase Agreement and (B) the Company be liable in any thirty (30) day period for liquidated damages under this Agreement in excess of one percent (1%) of the aggregate purchase price paid by the Purchasers pursuant to the Purchase Agreement.</w:t>
      </w:r>
    </w:p>
    <w:p>
      <w:pPr>
        <w:spacing w:after="0" w:line="188" w:lineRule="exact"/>
        <w:rPr>
          <w:rFonts w:ascii="Times New Roman" w:cs="Times New Roman" w:eastAsia="Times New Roman" w:hAnsi="Times New Roman"/>
          <w:sz w:val="18"/>
          <w:szCs w:val="18"/>
          <w:color w:val="auto"/>
        </w:rPr>
      </w:pPr>
    </w:p>
    <w:p>
      <w:pPr>
        <w:ind w:left="1704" w:hanging="272"/>
        <w:spacing w:after="0"/>
        <w:tabs>
          <w:tab w:leader="none" w:pos="170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Payments of liquidated damages pursuant to this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xml:space="preserve"> shall be made to each Purchaser in cash no later than ten</w:t>
      </w:r>
    </w:p>
    <w:p>
      <w:pPr>
        <w:spacing w:after="0" w:line="27" w:lineRule="exact"/>
        <w:rPr>
          <w:rFonts w:ascii="Times New Roman" w:cs="Times New Roman" w:eastAsia="Times New Roman" w:hAnsi="Times New Roman"/>
          <w:sz w:val="18"/>
          <w:szCs w:val="18"/>
          <w:color w:val="auto"/>
        </w:rPr>
      </w:pPr>
    </w:p>
    <w:p>
      <w:pPr>
        <w:jc w:val="both"/>
        <w:ind w:left="4" w:right="20" w:hanging="4"/>
        <w:spacing w:after="0" w:line="255" w:lineRule="auto"/>
        <w:tabs>
          <w:tab w:leader="none" w:pos="36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end of each 30-day period, as applicable, (the “</w:t>
      </w:r>
      <w:r>
        <w:rPr>
          <w:rFonts w:ascii="Times New Roman" w:cs="Times New Roman" w:eastAsia="Times New Roman" w:hAnsi="Times New Roman"/>
          <w:sz w:val="18"/>
          <w:szCs w:val="18"/>
          <w:u w:val="single" w:color="auto"/>
          <w:color w:val="auto"/>
        </w:rPr>
        <w:t>Payment Date</w:t>
      </w:r>
      <w:r>
        <w:rPr>
          <w:rFonts w:ascii="Times New Roman" w:cs="Times New Roman" w:eastAsia="Times New Roman" w:hAnsi="Times New Roman"/>
          <w:sz w:val="18"/>
          <w:szCs w:val="18"/>
          <w:color w:val="auto"/>
        </w:rPr>
        <w:t xml:space="preserve">”). Interest shall accrue at the rate of one percent (1%) per month on the amount of any liquidated damages that are not paid by the Payment Date until such amount is paid in full;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interest will not exceed in the aggregate six percent (6%) of the amount of such liquidated damages under this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w:t>
      </w:r>
    </w:p>
    <w:p>
      <w:pPr>
        <w:sectPr>
          <w:pgSz w:w="11900" w:h="16838" w:orient="portrait"/>
          <w:cols w:equalWidth="0" w:num="1">
            <w:col w:w="11024"/>
          </w:cols>
          <w:pgMar w:left="436" w:top="270" w:right="439" w:bottom="1440" w:gutter="0" w:footer="0" w:header="0"/>
        </w:sectPr>
      </w:pPr>
    </w:p>
    <w:bookmarkStart w:id="65" w:name="page66"/>
    <w:bookmarkEnd w:id="65"/>
    <w:p>
      <w:pPr>
        <w:ind w:left="4" w:right="20" w:firstLine="1428"/>
        <w:spacing w:after="0" w:line="282" w:lineRule="auto"/>
        <w:tabs>
          <w:tab w:leader="none" w:pos="1659"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liquidated damages shall accrue as to any Cut Back Shares until such date as the Company is able to effect the registration of such Cut Back Shares in accordance with any SEC Restrictions applicable to such Cut Back Shares (such date, the “</w:t>
      </w:r>
      <w:r>
        <w:rPr>
          <w:rFonts w:ascii="Times New Roman" w:cs="Times New Roman" w:eastAsia="Times New Roman" w:hAnsi="Times New Roman"/>
          <w:sz w:val="18"/>
          <w:szCs w:val="18"/>
          <w:u w:val="single" w:color="auto"/>
          <w:color w:val="auto"/>
        </w:rPr>
        <w:t>Restriction Termination Date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4" w:firstLine="987"/>
        <w:spacing w:after="0" w:line="252" w:lineRule="auto"/>
        <w:tabs>
          <w:tab w:leader="none" w:pos="114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Selling Stockholder Questionnaire</w:t>
      </w:r>
      <w:r>
        <w:rPr>
          <w:rFonts w:ascii="Times New Roman" w:cs="Times New Roman" w:eastAsia="Times New Roman" w:hAnsi="Times New Roman"/>
          <w:sz w:val="18"/>
          <w:szCs w:val="18"/>
          <w:color w:val="auto"/>
        </w:rPr>
        <w:t xml:space="preserve">. At least ten (10) Trading Days prior to the first anticipated filing date of a Registration Statement or Final Prospectus, as applicable, for any registration under this Agreement, the Company will notify each holder of Registrable Securities of the information the Company requires from such holder other than the information contained in the Selling Stockholder Questionnaire attached as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if any, which shall be completed and delivered to the Company promptly upon request and, in any event, within three (3) Trading Days prior to the applicable anticipated filing date. Each holder of Registrable Securities further agrees that it shall not be entitled to be named as a selling stockholder in the Registration Statement or Final Prospectus, as applicable, or use the Prospectus for offers and resales of Registrable Securities at any time, unless such holder has returned to the Company a completed and signed Selling Stockholder Questionnaire and a response to any requests for further information as described in the previous sentence. If a holder of Registrable Securities returns a Selling Stockholder Questionnaire or a request for further information, in either case, after its respective deadline, the Company shall use its commercially reasonable efforts to take such actions as are required to name such holder as a selling stockholder in the Registration Statement or Final Prospectus, as applicable, or any pre-effective or post-effective amendment thereto and to include (to the extent not theretofore included) in the Registration Statement or Final Prospectus, as applicable, the Registrable Securities identified in such late Selling Stockholder Questionnaire or request for further information; provided however, that the Company shall not be obligated to file more than one post-effective amendment or supplement in any sixty (60) day period following the date of such Registration Statement or Final Prospectus, as applicable, is declared effective for the purposes of naming such holders as selling stockholders who are not named in such Registration Statement or Final Prospectus, as applicable, at the time of effectiveness. Each holder of Registrable Securities acknowledges and agrees that the information in the Selling Stockholder Questionnaire or request for further information as described in this </w:t>
      </w:r>
      <w:r>
        <w:rPr>
          <w:rFonts w:ascii="Times New Roman" w:cs="Times New Roman" w:eastAsia="Times New Roman" w:hAnsi="Times New Roman"/>
          <w:sz w:val="18"/>
          <w:szCs w:val="18"/>
          <w:u w:val="single" w:color="auto"/>
          <w:color w:val="auto"/>
        </w:rPr>
        <w:t>Section 2(f)</w:t>
      </w:r>
      <w:r>
        <w:rPr>
          <w:rFonts w:ascii="Times New Roman" w:cs="Times New Roman" w:eastAsia="Times New Roman" w:hAnsi="Times New Roman"/>
          <w:sz w:val="18"/>
          <w:szCs w:val="18"/>
          <w:color w:val="auto"/>
        </w:rPr>
        <w:t xml:space="preserve"> will be used by the Company in the preparation of the Registration Statement or Final Prospectus, as applicable, and hereby consents to the inclusion of such information in the Registration Statement or Final Prospectus, as applicable.</w:t>
      </w:r>
    </w:p>
    <w:p>
      <w:pPr>
        <w:spacing w:after="0" w:line="200" w:lineRule="exact"/>
        <w:rPr>
          <w:sz w:val="20"/>
          <w:szCs w:val="20"/>
          <w:color w:val="auto"/>
        </w:rPr>
      </w:pPr>
    </w:p>
    <w:p>
      <w:pPr>
        <w:spacing w:after="0" w:line="20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Section 3.</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Company Obligations</w:t>
      </w:r>
    </w:p>
    <w:p>
      <w:pPr>
        <w:spacing w:after="0" w:line="207" w:lineRule="exact"/>
        <w:rPr>
          <w:sz w:val="20"/>
          <w:szCs w:val="20"/>
          <w:color w:val="auto"/>
        </w:rPr>
      </w:pPr>
    </w:p>
    <w:p>
      <w:pPr>
        <w:ind w:left="4" w:right="20" w:firstLine="436"/>
        <w:spacing w:after="0" w:line="282" w:lineRule="auto"/>
        <w:tabs>
          <w:tab w:leader="none" w:pos="65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Obligations</w:t>
      </w:r>
      <w:r>
        <w:rPr>
          <w:rFonts w:ascii="Times New Roman" w:cs="Times New Roman" w:eastAsia="Times New Roman" w:hAnsi="Times New Roman"/>
          <w:sz w:val="18"/>
          <w:szCs w:val="18"/>
          <w:color w:val="auto"/>
        </w:rPr>
        <w:t>. The Company will use commercially reasonable efforts to effect the registration of the Registrable Securities in accordance with the terms hereof, and pursuant thereto the Company will, as expeditiously as possible:</w:t>
      </w:r>
    </w:p>
    <w:p>
      <w:pPr>
        <w:spacing w:after="0" w:line="53" w:lineRule="exact"/>
        <w:rPr>
          <w:rFonts w:ascii="Times New Roman" w:cs="Times New Roman" w:eastAsia="Times New Roman" w:hAnsi="Times New Roman"/>
          <w:sz w:val="18"/>
          <w:szCs w:val="18"/>
          <w:color w:val="auto"/>
        </w:rPr>
      </w:pPr>
    </w:p>
    <w:p>
      <w:pPr>
        <w:jc w:val="both"/>
        <w:ind w:left="4" w:firstLine="987"/>
        <w:spacing w:after="0" w:line="254" w:lineRule="auto"/>
        <w:tabs>
          <w:tab w:leader="none" w:pos="1171" w:val="left"/>
        </w:tabs>
        <w:numPr>
          <w:ilvl w:val="2"/>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cause such Registration Statement or Final Prospectus, as applicable, to become effective and to remain continuously effective for a period that will terminate upon the earliest of (i) the date on which all Registrable Securities covered by such Registration Statement or Final Prospectus, as applicable, as amended from time to time, have been sold, (ii) the date on which all Registrable Securities covered by such Registration Statement or Final Prospectus, as applicable, may be sold without the requirement for the Company to be in compliance with the current public information required under Rule 144 as to such Registrable Securities and without volume or manner-of-sale restrictions and</w:t>
      </w:r>
    </w:p>
    <w:p>
      <w:pPr>
        <w:spacing w:after="0" w:line="3" w:lineRule="exact"/>
        <w:rPr>
          <w:rFonts w:ascii="Times New Roman" w:cs="Times New Roman" w:eastAsia="Times New Roman" w:hAnsi="Times New Roman"/>
          <w:sz w:val="18"/>
          <w:szCs w:val="18"/>
          <w:color w:val="auto"/>
        </w:rPr>
      </w:pPr>
    </w:p>
    <w:p>
      <w:pPr>
        <w:ind w:left="4" w:right="20" w:hanging="4"/>
        <w:spacing w:after="0" w:line="260" w:lineRule="auto"/>
        <w:tabs>
          <w:tab w:leader="none" w:pos="33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(2) years after the date of this Agreement (the “</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and advise the Purchasers promptly in writing when the Effectiveness Period has expired;</w:t>
      </w:r>
    </w:p>
    <w:p>
      <w:pPr>
        <w:spacing w:after="0" w:line="181" w:lineRule="exact"/>
        <w:rPr>
          <w:rFonts w:ascii="Times New Roman" w:cs="Times New Roman" w:eastAsia="Times New Roman" w:hAnsi="Times New Roman"/>
          <w:sz w:val="18"/>
          <w:szCs w:val="18"/>
          <w:color w:val="auto"/>
        </w:rPr>
      </w:pPr>
    </w:p>
    <w:p>
      <w:pPr>
        <w:jc w:val="both"/>
        <w:ind w:left="4" w:right="20" w:firstLine="987"/>
        <w:spacing w:after="0" w:line="261" w:lineRule="auto"/>
        <w:tabs>
          <w:tab w:leader="none" w:pos="1184"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SEC such amendments and post-effective amendments to such Registration Statement or Final Prospectus, as applicable, and the related Prospectus as may be necessary to keep such Registration Statement or Final Prospectus, as applicable, effective for the Effectiveness Period and to comply with the provisions of the Securities Act and the Exchange Act with respect to the distribution of all of the Registrable Securities covered thereby;</w:t>
      </w:r>
    </w:p>
    <w:p>
      <w:pPr>
        <w:spacing w:after="0" w:line="179" w:lineRule="exact"/>
        <w:rPr>
          <w:rFonts w:ascii="Times New Roman" w:cs="Times New Roman" w:eastAsia="Times New Roman" w:hAnsi="Times New Roman"/>
          <w:sz w:val="18"/>
          <w:szCs w:val="18"/>
          <w:color w:val="auto"/>
        </w:rPr>
      </w:pPr>
    </w:p>
    <w:p>
      <w:pPr>
        <w:jc w:val="both"/>
        <w:ind w:left="4" w:firstLine="987"/>
        <w:spacing w:after="0" w:line="266" w:lineRule="auto"/>
        <w:tabs>
          <w:tab w:leader="none" w:pos="1181"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copies to and permit any counsel designated by the Purchasers to review each Registration Statement or Final Prospectus, as applicable, and all amendments and supplements thereto no fewer than two (2) days prior to their filing with the SEC and not file any document to which such counsel reasonably objects;</w:t>
      </w:r>
    </w:p>
    <w:p>
      <w:pPr>
        <w:sectPr>
          <w:pgSz w:w="11900" w:h="16838" w:orient="portrait"/>
          <w:cols w:equalWidth="0" w:num="1">
            <w:col w:w="11024"/>
          </w:cols>
          <w:pgMar w:left="436" w:top="270" w:right="439" w:bottom="1440" w:gutter="0" w:footer="0" w:header="0"/>
        </w:sectPr>
      </w:pPr>
    </w:p>
    <w:bookmarkStart w:id="66" w:name="page67"/>
    <w:bookmarkEnd w:id="66"/>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 furnish to each Purchaser whose Registrable Securities are included in any Registration Statement or Final Prospectus, as applicable,</w:t>
      </w:r>
    </w:p>
    <w:p>
      <w:pPr>
        <w:spacing w:after="0" w:line="27" w:lineRule="exact"/>
        <w:rPr>
          <w:sz w:val="20"/>
          <w:szCs w:val="20"/>
          <w:color w:val="auto"/>
        </w:rPr>
      </w:pPr>
    </w:p>
    <w:p>
      <w:pPr>
        <w:jc w:val="both"/>
        <w:ind w:left="4" w:hanging="4"/>
        <w:spacing w:after="0" w:line="252" w:lineRule="auto"/>
        <w:tabs>
          <w:tab w:leader="none" w:pos="25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same is prepared and filed with the SEC, if requested by the Purchaser, one copy of any Registration Statement or Final Prospectus, as applicable, and any amendment thereto, each preliminary prospectus and Prospectus and each amendment or supplement thereto, and each letter written by or on behalf of the Company to the SEC or the staff of the SEC, and each item of correspondence from the SEC or the staff of the SEC, in each case relating to such Registration Statement or Final Prospectus, as applicable, (other than any portion of any thereof which contains information for which the Company has sought confidential treatment), and (ii) such number of copies of a Prospectus, including a preliminary prospectus, and all amendments and supplements thereto and such other documents as each Purchaser may reasonably request in order to facilitate the disposition of the Registrable Securities owned by such Purchaser;</w:t>
      </w:r>
    </w:p>
    <w:p>
      <w:pPr>
        <w:spacing w:after="0" w:line="188" w:lineRule="exact"/>
        <w:rPr>
          <w:rFonts w:ascii="Times New Roman" w:cs="Times New Roman" w:eastAsia="Times New Roman" w:hAnsi="Times New Roman"/>
          <w:sz w:val="18"/>
          <w:szCs w:val="18"/>
          <w:color w:val="auto"/>
        </w:rPr>
      </w:pPr>
    </w:p>
    <w:p>
      <w:pPr>
        <w:ind w:left="4" w:right="20" w:firstLine="987"/>
        <w:spacing w:after="0" w:line="282" w:lineRule="auto"/>
        <w:tabs>
          <w:tab w:leader="none" w:pos="1179"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(i) prevent the issuance of any stop order or other suspension of effectiveness and, (ii) if such order is issued, obtain the withdrawal of any such order at the earliest practical moment;</w:t>
      </w:r>
    </w:p>
    <w:p>
      <w:pPr>
        <w:spacing w:after="0" w:line="161" w:lineRule="exact"/>
        <w:rPr>
          <w:rFonts w:ascii="Times New Roman" w:cs="Times New Roman" w:eastAsia="Times New Roman" w:hAnsi="Times New Roman"/>
          <w:sz w:val="18"/>
          <w:szCs w:val="18"/>
          <w:color w:val="auto"/>
        </w:rPr>
      </w:pPr>
    </w:p>
    <w:p>
      <w:pPr>
        <w:jc w:val="both"/>
        <w:ind w:left="4" w:firstLine="987"/>
        <w:spacing w:after="0" w:line="255" w:lineRule="auto"/>
        <w:tabs>
          <w:tab w:leader="none" w:pos="116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any public offering of Registrable Securities, use commercially reasonable efforts to register or qualify or cooperate with the Purchasers and their counsel in connection with the registration or qualification of such Registrable Securities for the offer and sale under the securities or Blue Sky laws of such jurisdictions requested by the Purchasers and do any and all other commercially reasonable acts or things necessary or advisable to enable the distribution in such jurisdictions of the Registrable Securities covered by the Registration Statement or Final Prospectus, as applicable;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shall not be required in connection therewith or as a condition thereto to (i) qualify to do business in any jurisdiction where it would not otherwise be required to qualify but for this </w:t>
      </w:r>
      <w:r>
        <w:rPr>
          <w:rFonts w:ascii="Times New Roman" w:cs="Times New Roman" w:eastAsia="Times New Roman" w:hAnsi="Times New Roman"/>
          <w:sz w:val="18"/>
          <w:szCs w:val="18"/>
          <w:u w:val="single" w:color="auto"/>
          <w:color w:val="auto"/>
        </w:rPr>
        <w:t>Section 3(f)</w:t>
      </w:r>
      <w:r>
        <w:rPr>
          <w:rFonts w:ascii="Times New Roman" w:cs="Times New Roman" w:eastAsia="Times New Roman" w:hAnsi="Times New Roman"/>
          <w:sz w:val="18"/>
          <w:szCs w:val="18"/>
          <w:color w:val="auto"/>
        </w:rPr>
        <w:t xml:space="preserve">, (ii) subject itself to general taxation in any jurisdiction where it would not otherwise be so subject but for this </w:t>
      </w:r>
      <w:r>
        <w:rPr>
          <w:rFonts w:ascii="Times New Roman" w:cs="Times New Roman" w:eastAsia="Times New Roman" w:hAnsi="Times New Roman"/>
          <w:sz w:val="18"/>
          <w:szCs w:val="18"/>
          <w:u w:val="single" w:color="auto"/>
          <w:color w:val="auto"/>
        </w:rPr>
        <w:t>Section 3(f)</w:t>
      </w:r>
      <w:r>
        <w:rPr>
          <w:rFonts w:ascii="Times New Roman" w:cs="Times New Roman" w:eastAsia="Times New Roman" w:hAnsi="Times New Roman"/>
          <w:sz w:val="18"/>
          <w:szCs w:val="18"/>
          <w:color w:val="auto"/>
        </w:rPr>
        <w:t>, or (iii) file a general consent to service of process in any such jurisdiction;</w:t>
      </w:r>
    </w:p>
    <w:p>
      <w:pPr>
        <w:spacing w:after="0" w:line="188" w:lineRule="exact"/>
        <w:rPr>
          <w:rFonts w:ascii="Times New Roman" w:cs="Times New Roman" w:eastAsia="Times New Roman" w:hAnsi="Times New Roman"/>
          <w:sz w:val="18"/>
          <w:szCs w:val="18"/>
          <w:color w:val="auto"/>
        </w:rPr>
      </w:pPr>
    </w:p>
    <w:p>
      <w:pPr>
        <w:jc w:val="both"/>
        <w:ind w:left="4" w:firstLine="987"/>
        <w:spacing w:after="0" w:line="256" w:lineRule="auto"/>
        <w:tabs>
          <w:tab w:leader="none" w:pos="118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Purchasers, at any time prior to the end of the Effectiveness Period, upon discovery that, or upon the happening of any event as a result of which, the Prospectus includes an untrue statement of a material fact or omits to state any material fact required to be stated therein or necessary to make the statements therein not misleading in light of the circumstances then existing, and promptly prepare, file with the SEC and furnish to such Purchasers a supplement to or an amendment of such Prospectus as may be necessary so that such Prospectus shall not include an untrue statement of a material fact or omit to state a material fact required to be stated therein or necessary to make the statements therein not misleading in light of the circumstances then existing;</w:t>
      </w:r>
    </w:p>
    <w:p>
      <w:pPr>
        <w:spacing w:after="0" w:line="187" w:lineRule="exact"/>
        <w:rPr>
          <w:rFonts w:ascii="Times New Roman" w:cs="Times New Roman" w:eastAsia="Times New Roman" w:hAnsi="Times New Roman"/>
          <w:sz w:val="18"/>
          <w:szCs w:val="18"/>
          <w:color w:val="auto"/>
        </w:rPr>
      </w:pPr>
    </w:p>
    <w:p>
      <w:pPr>
        <w:jc w:val="both"/>
        <w:ind w:left="4" w:firstLine="987"/>
        <w:spacing w:after="0" w:line="253" w:lineRule="auto"/>
        <w:tabs>
          <w:tab w:leader="none" w:pos="1185"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use commercially reasonable efforts to comply with all applicable rules and regulations of the SEC under the Securities Act and the Exchange Act, including, without limitation, Rule 172 under the Securities Act, file any final Prospectus, including any supplement or amendment thereof, with the SEC pursuant to Rule 424 under the Securities Act, promptly inform the Purchasers in writing if, at any time during the Effectiveness Period, the Company does not satisfy the conditions specified in Rule 172 and, as a result thereof, the Purchasers are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12 months, beginning after the effective date of each Registration Statement or Final Prospectus, as applicable,, which earnings statement shall satisfy the provisions of Section 11(a) of the Securities Act, including Rule 158 promulgated thereunder (for the purpose of this subsection 3(i), “</w:t>
      </w:r>
      <w:r>
        <w:rPr>
          <w:rFonts w:ascii="Times New Roman" w:cs="Times New Roman" w:eastAsia="Times New Roman" w:hAnsi="Times New Roman"/>
          <w:sz w:val="18"/>
          <w:szCs w:val="18"/>
          <w:u w:val="single" w:color="auto"/>
          <w:color w:val="auto"/>
        </w:rPr>
        <w:t>Availability Date</w:t>
      </w:r>
      <w:r>
        <w:rPr>
          <w:rFonts w:ascii="Times New Roman" w:cs="Times New Roman" w:eastAsia="Times New Roman" w:hAnsi="Times New Roman"/>
          <w:sz w:val="18"/>
          <w:szCs w:val="18"/>
          <w:color w:val="auto"/>
        </w:rPr>
        <w:t>” means the 45th day following the end of the fourth fiscal quarter that includes the effective date of such Registration Statement or Final Prospectus, as applicable, except that, if such fourth fiscal quarter is the last quarter of the Company’s fiscal year, “</w:t>
      </w:r>
      <w:r>
        <w:rPr>
          <w:rFonts w:ascii="Times New Roman" w:cs="Times New Roman" w:eastAsia="Times New Roman" w:hAnsi="Times New Roman"/>
          <w:sz w:val="18"/>
          <w:szCs w:val="18"/>
          <w:u w:val="single" w:color="auto"/>
          <w:color w:val="auto"/>
        </w:rPr>
        <w:t>Availability Date</w:t>
      </w:r>
      <w:r>
        <w:rPr>
          <w:rFonts w:ascii="Times New Roman" w:cs="Times New Roman" w:eastAsia="Times New Roman" w:hAnsi="Times New Roman"/>
          <w:sz w:val="18"/>
          <w:szCs w:val="18"/>
          <w:color w:val="auto"/>
        </w:rPr>
        <w:t>” means the 90th day after the end of such fourth fiscal quarter); and</w:t>
      </w:r>
    </w:p>
    <w:p>
      <w:pPr>
        <w:spacing w:after="0" w:line="191" w:lineRule="exact"/>
        <w:rPr>
          <w:rFonts w:ascii="Times New Roman" w:cs="Times New Roman" w:eastAsia="Times New Roman" w:hAnsi="Times New Roman"/>
          <w:sz w:val="18"/>
          <w:szCs w:val="18"/>
          <w:color w:val="auto"/>
        </w:rPr>
      </w:pPr>
    </w:p>
    <w:p>
      <w:pPr>
        <w:jc w:val="both"/>
        <w:ind w:left="4" w:firstLine="987"/>
        <w:spacing w:after="0" w:line="253" w:lineRule="auto"/>
        <w:tabs>
          <w:tab w:leader="none" w:pos="1142"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view to making available to the Purchasers the benefits of Rule 144 (or its successor rule) and any other rule or regulation of the SEC that may at any time permit the Purchasers to sell shares of Common Stock to the public without registration, the Company covenants and agrees to use commercially reasonable efforts to: (i) make and keep public information available, as those terms are understood and defined in Rule 144, until the earlier of (A) six months after such date as all of the Registrable Securities may be sold without the requirement for the Company to be in compliance with the current public information required under Rule 144 or any other rule of similar effect as to such Registrable Securities and without volume or manner-of-sale restrictions and (B) such date as all of the Registrable Securities shall have been resold; (ii) file with the SEC in a timely manner all reports and other documents required of the Company under the Exchange Act; and (iii) furnish to each Purchaser upon request, as long as such Purchaser owns any Registrable Securities, (A) a written statement by the Company that it has complied with the reporting requirements of the Exchange Act, (B) a copy of the Company’s most recent Annual Report on Form 10-K or Quarterly Report on Form 10-Q, and (C) such other information as may be reasonably requested in order to avail such Purchaser of any rule or regulation of the SEC that permits the selling of any such Registrable Securities without registration.</w:t>
      </w:r>
    </w:p>
    <w:p>
      <w:pPr>
        <w:sectPr>
          <w:pgSz w:w="11900" w:h="16838" w:orient="portrait"/>
          <w:cols w:equalWidth="0" w:num="1">
            <w:col w:w="11024"/>
          </w:cols>
          <w:pgMar w:left="436" w:top="270" w:right="4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Due Diligence</w:t>
      </w:r>
    </w:p>
    <w:p>
      <w:pPr>
        <w:spacing w:after="0" w:line="207" w:lineRule="exact"/>
        <w:rPr>
          <w:sz w:val="20"/>
          <w:szCs w:val="20"/>
          <w:color w:val="auto"/>
        </w:rPr>
      </w:pPr>
    </w:p>
    <w:p>
      <w:pPr>
        <w:jc w:val="both"/>
        <w:ind w:firstLine="436"/>
        <w:spacing w:after="0" w:line="252" w:lineRule="auto"/>
        <w:tabs>
          <w:tab w:leader="none" w:pos="6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Diligence Review; Information</w:t>
      </w:r>
      <w:r>
        <w:rPr>
          <w:rFonts w:ascii="Times New Roman" w:cs="Times New Roman" w:eastAsia="Times New Roman" w:hAnsi="Times New Roman"/>
          <w:sz w:val="18"/>
          <w:szCs w:val="18"/>
          <w:color w:val="auto"/>
        </w:rPr>
        <w:t>. If any Purchaser is required under applicable securities laws to be described in a Registration Statement or Final Prospectus, as applicable, as an “underwriter,” the Company shall, upon reasonable prior notice, make available, during normal business hours, for inspection and review by the Purchasers, advisors to and representatives of the Purchasers (who may or may not be affiliated with the Purchasers and who are reasonably acceptable to the Company) (collectively, the “</w:t>
      </w:r>
      <w:r>
        <w:rPr>
          <w:rFonts w:ascii="Times New Roman" w:cs="Times New Roman" w:eastAsia="Times New Roman" w:hAnsi="Times New Roman"/>
          <w:sz w:val="18"/>
          <w:szCs w:val="18"/>
          <w:u w:val="single" w:color="auto"/>
          <w:color w:val="auto"/>
        </w:rPr>
        <w:t>Inspectors</w:t>
      </w:r>
      <w:r>
        <w:rPr>
          <w:rFonts w:ascii="Times New Roman" w:cs="Times New Roman" w:eastAsia="Times New Roman" w:hAnsi="Times New Roman"/>
          <w:sz w:val="18"/>
          <w:szCs w:val="18"/>
          <w:color w:val="auto"/>
        </w:rPr>
        <w:t>”), all pertinent financial and other records, and all other corporate documents and properties of the Company (collectively, the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xml:space="preserve">”) as may be reasonably necessary for the purpose of such review, and cause the Company’s officers, directors and employees, within a reasonable time period, to supply all such information reasonably requested by the Inspectors (including, without limitation, in response to all questions and other inquiries reasonably made or submitted by any of them), prior to and from time to time after the filing and effectiveness of such Registration Statement or Final Prospectus, as applicable, for the sole purpose of enabling such Purchaser and its accountants and attorneys to conduct such due diligence solely for the purpose of establishing a due diligence defense to underwriter liability under the Securities Act;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each Inspector shall agree to hold in strict confidence and shall not make any disclosure (except to such Purchaser) or use of any Record or other information which the Company determines in good faith to be confidential, and of which determination the Inspectors are so notified, unless (a) the disclosure of such Records is necessary to avoid or correct a misstatement or omission in any Registration Statement or Final Prospectus, as applicable, or is otherwise required under the Securities Act, (b) the release of such Records is ordered pursuant to a final, non-appealable subpoena or order from a court or government body of competent jurisdiction (provided that, in such case, the Inspectors will cooperate with the Company (at the Company’s expense) in seeking and obtaining any available confidential treatment or protective order), or (c) the information in such Records has been made generally available to the public other than by disclosure in violation of this or any other Transaction Document. Nothing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obligate the Company to provide any attorney-client privileged information to the Inspectors.</w:t>
      </w:r>
    </w:p>
    <w:p>
      <w:pPr>
        <w:spacing w:after="0" w:line="19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Notwithstanding the foregoing, the Company shall not disclose material nonpublic information to the Purchasers, or to advisors to or representatives of the Purchasers, unless prior to disclosure of such information the Company identifies such information as being material nonpublic information and provides the Purchasers, such advisors and representatives with the opportunity to accept or refuse to accept such material nonpublic information for review and any Purchaser wishing to obtain such information enters into an appropriate confidentiality agreement with the Company with respect thereto.</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Obligation of the Purchasers</w:t>
      </w:r>
    </w:p>
    <w:p>
      <w:pPr>
        <w:spacing w:after="0" w:line="207" w:lineRule="exact"/>
        <w:rPr>
          <w:sz w:val="20"/>
          <w:szCs w:val="20"/>
          <w:color w:val="auto"/>
        </w:rPr>
      </w:pPr>
    </w:p>
    <w:p>
      <w:pPr>
        <w:ind w:left="620" w:hanging="184"/>
        <w:spacing w:after="0"/>
        <w:tabs>
          <w:tab w:leader="none" w:pos="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of the Purchasers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991"/>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Each Purchaser shall furnish in writing to the Company such information regarding itself, the Registrable Securities held by it and the intended method of disposition of the Registrable Securities held by it, as shall be reasonably required to effect the registration of such Registrable Securities and shall execute such documents in connection with such registration as the Company may reasonably request. At least five (5) Business Days prior to the first anticipated filing date of any Registration Statement or Final Prospectus, as applicable, the Company shall notify each Purchaser of the information the Company requires from such Purchaser if such Purchaser elects to have any of the Registrable Securities included in such Registration Statement or Final Prospectus, as applicable. A Purchaser shall provide such information to the Company at least three (3) Business Days prior to the first anticipated filing date of such Registration Statement or Final Prospectus, as applicable, if such Purchaser elects to have any of the Registrable Securities included in such Registration Statement or Final Prospectus, as applicable.</w:t>
      </w:r>
    </w:p>
    <w:p>
      <w:pPr>
        <w:sectPr>
          <w:pgSz w:w="11900" w:h="16838" w:orient="portrait"/>
          <w:cols w:equalWidth="0" w:num="1">
            <w:col w:w="11020"/>
          </w:cols>
          <w:pgMar w:left="440" w:top="266" w:right="439" w:bottom="1440" w:gutter="0" w:footer="0" w:header="0"/>
        </w:sectPr>
      </w:pPr>
    </w:p>
    <w:bookmarkStart w:id="68" w:name="page69"/>
    <w:bookmarkEnd w:id="68"/>
    <w:p>
      <w:pPr>
        <w:jc w:val="both"/>
        <w:ind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Each Purchaser, by its acceptance of the Registrable Securities, agrees to cooperate with the Company as reasonably requested by the Company in connection with the preparation and filing of a Registration Statement or Final Prospectus, as applicable, hereunder, unless such Purchaser has notified the Company in writing of its election to exclude all of its Registrable Securities from such Registration Statement or Final Prospectus, as applicable.</w:t>
      </w:r>
    </w:p>
    <w:p>
      <w:pPr>
        <w:spacing w:after="0" w:line="180" w:lineRule="exact"/>
        <w:rPr>
          <w:sz w:val="20"/>
          <w:szCs w:val="20"/>
          <w:color w:val="auto"/>
        </w:rPr>
      </w:pPr>
    </w:p>
    <w:p>
      <w:pPr>
        <w:jc w:val="both"/>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c. Each Purchaser agrees that, upon receipt of any notice from the Company of either (i) the commencement of an Allowed Delay pursuant to </w:t>
      </w:r>
      <w:r>
        <w:rPr>
          <w:rFonts w:ascii="Times New Roman" w:cs="Times New Roman" w:eastAsia="Times New Roman" w:hAnsi="Times New Roman"/>
          <w:sz w:val="18"/>
          <w:szCs w:val="18"/>
          <w:u w:val="single" w:color="auto"/>
          <w:color w:val="auto"/>
        </w:rPr>
        <w:t>Section 2(c)(ii)</w:t>
      </w:r>
      <w:r>
        <w:rPr>
          <w:rFonts w:ascii="Times New Roman" w:cs="Times New Roman" w:eastAsia="Times New Roman" w:hAnsi="Times New Roman"/>
          <w:sz w:val="18"/>
          <w:szCs w:val="18"/>
          <w:color w:val="auto"/>
        </w:rPr>
        <w:t xml:space="preserve"> or (ii) the happening of an event pursuant to </w:t>
      </w:r>
      <w:r>
        <w:rPr>
          <w:rFonts w:ascii="Times New Roman" w:cs="Times New Roman" w:eastAsia="Times New Roman" w:hAnsi="Times New Roman"/>
          <w:sz w:val="18"/>
          <w:szCs w:val="18"/>
          <w:u w:val="single" w:color="auto"/>
          <w:color w:val="auto"/>
        </w:rPr>
        <w:t>Section 3(h)</w:t>
      </w:r>
      <w:r>
        <w:rPr>
          <w:rFonts w:ascii="Times New Roman" w:cs="Times New Roman" w:eastAsia="Times New Roman" w:hAnsi="Times New Roman"/>
          <w:sz w:val="18"/>
          <w:szCs w:val="18"/>
          <w:color w:val="auto"/>
        </w:rPr>
        <w:t xml:space="preserve"> hereof, such Purchaser will immediately discontinue disposition of Registrable Securities pursuant to any Registration Statement or Final Prospectus, as applicable, covering such Registrable Securities, until the Purchaser is advised by the Company that such dispositions may again be made.</w:t>
      </w:r>
    </w:p>
    <w:p>
      <w:pPr>
        <w:spacing w:after="0" w:line="180" w:lineRule="exact"/>
        <w:rPr>
          <w:sz w:val="20"/>
          <w:szCs w:val="20"/>
          <w:color w:val="auto"/>
        </w:rPr>
      </w:pPr>
    </w:p>
    <w:p>
      <w:pPr>
        <w:jc w:val="both"/>
        <w:ind w:firstLine="991"/>
        <w:spacing w:after="0" w:line="282" w:lineRule="auto"/>
        <w:rPr>
          <w:sz w:val="20"/>
          <w:szCs w:val="20"/>
          <w:color w:val="auto"/>
        </w:rPr>
      </w:pPr>
      <w:r>
        <w:rPr>
          <w:rFonts w:ascii="Times New Roman" w:cs="Times New Roman" w:eastAsia="Times New Roman" w:hAnsi="Times New Roman"/>
          <w:sz w:val="18"/>
          <w:szCs w:val="18"/>
          <w:color w:val="auto"/>
        </w:rPr>
        <w:t>d. Each Purchaser covenants and agrees that it will comply with the prospectus delivery requirements of the Securities Act as applicable to it or an exemption therefrom in connection with sales of Registrable Securities pursuant to any Registration Statement or Final Prospectus, as applicable.</w:t>
      </w:r>
    </w:p>
    <w:p>
      <w:pPr>
        <w:spacing w:after="0" w:line="162" w:lineRule="exact"/>
        <w:rPr>
          <w:sz w:val="20"/>
          <w:szCs w:val="20"/>
          <w:color w:val="auto"/>
        </w:rPr>
      </w:pPr>
    </w:p>
    <w:p>
      <w:pPr>
        <w:jc w:val="both"/>
        <w:ind w:firstLine="991"/>
        <w:spacing w:after="0" w:line="282" w:lineRule="auto"/>
        <w:rPr>
          <w:sz w:val="20"/>
          <w:szCs w:val="20"/>
          <w:color w:val="auto"/>
        </w:rPr>
      </w:pPr>
      <w:r>
        <w:rPr>
          <w:rFonts w:ascii="Times New Roman" w:cs="Times New Roman" w:eastAsia="Times New Roman" w:hAnsi="Times New Roman"/>
          <w:sz w:val="18"/>
          <w:szCs w:val="18"/>
          <w:color w:val="auto"/>
        </w:rPr>
        <w:t>e. Each Purchaser covenants and agrees that they shall notify the Company following the sale of Registrable Securities to a third party as promptly as reasonably practicable, and in any event within thirty (30) days, following the sale of such Registrable Securities.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07" w:lineRule="exact"/>
        <w:rPr>
          <w:sz w:val="20"/>
          <w:szCs w:val="20"/>
          <w:color w:val="auto"/>
        </w:rPr>
      </w:pPr>
    </w:p>
    <w:p>
      <w:pPr>
        <w:ind w:left="620" w:hanging="184"/>
        <w:spacing w:after="0"/>
        <w:tabs>
          <w:tab w:leader="none" w:pos="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987"/>
        <w:spacing w:after="0" w:line="252" w:lineRule="auto"/>
        <w:tabs>
          <w:tab w:leader="none" w:pos="1161"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xml:space="preserve">. To the extent permitted by law, the Company will indemnify and hold harmless each Purchaser and its officers, directors, members, employees and agents, successors and assigns, and each other person, if any, who controls such Purchaser within the meaning of the Securities Act, against any losses, claims, damages or liabilities, joint or several, to which they may become subject under the Securities Act or otherwise, insofar as such losses, claims, damages or liabilities (or actions in respect thereof) arise out of or are based upon: any untrue statement (or alleged untrue statement) or omission (or alleged omission) of any material fact contained in any Registration Statement or Final Prospectus, as applicable, any preliminary Prospectus or final Prospectus, or any amendment or supplement thereof and will reimburse such Purchaser, and each such officer, director or member and each such controlling person for any legal or other documented, out-of-pocket expenses reasonably incurred by them in connection with investigating or defending any such loss, claim, damage, liability or 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will not be liable in any such case if and to the extent that any such loss, claim, damage or liability arises out of or is based upon (i) an untrue statement (or alleged untrue statement) or omission (or alleged omission) so made in conformity with information furnished by such Purchaser or any such controlling person in writing specifically for use in such Registration Statement or Final Prospectus, as applicable, or Prospectus, (ii) the use by a Purchaser of an outdated or defective Prospectus after the Company has notified such Purchaser in writing that such Prospectus is outdated or defective; (iii) a Purchaser’s failure to send or give a copy of the Prospectus or supplement (as then amended or supplemented), if required (and not exempted) to the Persons asserting an untrue statement or omission or alleged untrue statement or omission at or prior to the written confirmation of the sale of Registrable Securities; or (iv) a Purchaser’s bad faith, gross negligence, recklessness, fraud or willful misconduct;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the indemnity contained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not apply to amounts paid in settlement of any such claim, loss, damage, liability, or action if settlement is effected without the prior written consent of the Company (which consent shall not unreasonably be withheld).</w:t>
      </w:r>
    </w:p>
    <w:p>
      <w:pPr>
        <w:spacing w:after="0" w:line="193" w:lineRule="exact"/>
        <w:rPr>
          <w:rFonts w:ascii="Times New Roman" w:cs="Times New Roman" w:eastAsia="Times New Roman" w:hAnsi="Times New Roman"/>
          <w:sz w:val="18"/>
          <w:szCs w:val="18"/>
          <w:color w:val="auto"/>
        </w:rPr>
      </w:pPr>
    </w:p>
    <w:p>
      <w:pPr>
        <w:jc w:val="both"/>
        <w:ind w:firstLine="987"/>
        <w:spacing w:after="0" w:line="253" w:lineRule="auto"/>
        <w:tabs>
          <w:tab w:leader="none" w:pos="1171"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Purchasers</w:t>
      </w:r>
      <w:r>
        <w:rPr>
          <w:rFonts w:ascii="Times New Roman" w:cs="Times New Roman" w:eastAsia="Times New Roman" w:hAnsi="Times New Roman"/>
          <w:sz w:val="18"/>
          <w:szCs w:val="18"/>
          <w:color w:val="auto"/>
        </w:rPr>
        <w:t xml:space="preserve">. Each Purchaser agrees, severally but not jointly, to indemnify and hold harmless, to the fullest extent permitted by law, the Company, its directors, officers, employees, stockholders and each person who controls the Company (within the meaning of the Securities Act) against any losses, claims, damages, liabilities and expense (including reasonable attorney fees) resulting from (i) any untrue statement (or alleged untrue statement) or omission (or alleged omission) of any material fact contained in any Registration Statement, any preliminary Prospectus or Final Prospectus, or any amendment or supplement thereof and will reimburse the Company, to the extent, but only to the extent that such untrue statement of material fact or omission is contained in any information furnished in writing by such Purchaser to the Company specifically for inclusion in such Registration Statement or Final Prospectus, as applicable, or Prospectus or amendment or supplement thereto or (ii) in the case of an occurrence of an event of the type specified in </w:t>
      </w:r>
      <w:r>
        <w:rPr>
          <w:rFonts w:ascii="Times New Roman" w:cs="Times New Roman" w:eastAsia="Times New Roman" w:hAnsi="Times New Roman"/>
          <w:sz w:val="18"/>
          <w:szCs w:val="18"/>
          <w:u w:val="single" w:color="auto"/>
          <w:color w:val="auto"/>
        </w:rPr>
        <w:t>Section 2(c)(ii)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3(g)</w:t>
      </w:r>
      <w:r>
        <w:rPr>
          <w:rFonts w:ascii="Times New Roman" w:cs="Times New Roman" w:eastAsia="Times New Roman" w:hAnsi="Times New Roman"/>
          <w:sz w:val="18"/>
          <w:szCs w:val="18"/>
          <w:color w:val="auto"/>
        </w:rPr>
        <w:t xml:space="preserve">, to the extent related to the use by such Purchaser of an outdated or defective Prospectus after the Company has notified such Purchaser in writing that the Prospectus is outdated or defective. In no event shall the liability of a Purchaser be greater in amount than the dollar amount of the proceeds received by such Purchaser upon the sale of the Registrable Securities included in such Registration Statement or Final Prospectus, as applicable, giving rise to such indemnification obligation. The indemnity contained in this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shall not apply to amounts paid in settlement of any such claim, loss, damage, liability, or action if settlement is effected without the prior written consent of such Purchaser (which consent shall not unreasonably be withheld).</w:t>
      </w:r>
    </w:p>
    <w:p>
      <w:pPr>
        <w:sectPr>
          <w:pgSz w:w="11900" w:h="16838" w:orient="portrait"/>
          <w:cols w:equalWidth="0" w:num="1">
            <w:col w:w="11020"/>
          </w:cols>
          <w:pgMar w:left="440" w:top="270" w:right="439" w:bottom="1440" w:gutter="0" w:footer="0" w:header="0"/>
        </w:sectPr>
      </w:pPr>
    </w:p>
    <w:bookmarkStart w:id="69" w:name="page70"/>
    <w:bookmarkEnd w:id="69"/>
    <w:p>
      <w:pPr>
        <w:jc w:val="both"/>
        <w:ind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 </w:t>
      </w:r>
      <w:r>
        <w:rPr>
          <w:rFonts w:ascii="Times New Roman" w:cs="Times New Roman" w:eastAsia="Times New Roman" w:hAnsi="Times New Roman"/>
          <w:sz w:val="18"/>
          <w:szCs w:val="18"/>
          <w:u w:val="single" w:color="auto"/>
          <w:color w:val="auto"/>
        </w:rPr>
        <w:t>Conduct of Indemnification Proceedings</w:t>
      </w:r>
      <w:r>
        <w:rPr>
          <w:rFonts w:ascii="Times New Roman" w:cs="Times New Roman" w:eastAsia="Times New Roman" w:hAnsi="Times New Roman"/>
          <w:sz w:val="18"/>
          <w:szCs w:val="18"/>
          <w:color w:val="auto"/>
        </w:rPr>
        <w:t xml:space="preserve">. 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indemnifying party shall not be liable for the fees and expenses of more than one separate firm of attorneys at any time for all indemnified parties);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consent to entry of any judgment or enter into any settlement that does not include as an unconditional term thereof the giving by the claimant or plaintiff to such indemnified party of a release from all liability in respect of such claim or litigation.</w:t>
      </w:r>
    </w:p>
    <w:p>
      <w:pPr>
        <w:spacing w:after="0" w:line="195" w:lineRule="exact"/>
        <w:rPr>
          <w:sz w:val="20"/>
          <w:szCs w:val="20"/>
          <w:color w:val="auto"/>
        </w:rPr>
      </w:pPr>
    </w:p>
    <w:p>
      <w:pPr>
        <w:jc w:val="both"/>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If for any reason the indemnification provided for in the preceding paragraphs (a) and (b) is unavailable to an indemnified party or insufficient to hold it harmless, other than as expressly specified therein, then the indemnifying party shall contribute to the amount paid or payable by the indemnified party as a result of such loss, claim, damage or liability in such proportion as is appropriate to reflect the relative fault of the indemnified party and the indemnifying party, as well as any other relevant equitable considerations. No person guilty of fraudulent misrepresentation within the meaning of Section 11(f) of the Securities Act shall be entitled to contribution from any person not guilty of such fraudulent misrepresentation. In no event shall the aggregate liability of a holder of Registrable Securities under this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be greater in amount than the dollar amount of the net proceeds received by it upon the sale of the Registrable Securities giving rise to such contribution obligation. The amount paid or payable by a party as a result of the losses or other liabilities referred to above shall be deemed to include, subject to the limitations set forth in </w:t>
      </w:r>
      <w:r>
        <w:rPr>
          <w:rFonts w:ascii="Times New Roman" w:cs="Times New Roman" w:eastAsia="Times New Roman" w:hAnsi="Times New Roman"/>
          <w:sz w:val="18"/>
          <w:szCs w:val="18"/>
          <w:u w:val="single" w:color="auto"/>
          <w:color w:val="auto"/>
        </w:rPr>
        <w:t>Sections 6(a)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6(c)</w:t>
      </w:r>
      <w:r>
        <w:rPr>
          <w:rFonts w:ascii="Times New Roman" w:cs="Times New Roman" w:eastAsia="Times New Roman" w:hAnsi="Times New Roman"/>
          <w:sz w:val="18"/>
          <w:szCs w:val="18"/>
          <w:color w:val="auto"/>
        </w:rPr>
        <w:t xml:space="preserve">, any legal or other fees, charges or expenses reasonably incurred (with appropriate documentation) by such party in connection with any investigation or proceeding. The parties agree that it would not be just and equitable if contribution pursuant to this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xml:space="preserve"> were determined by pro rata allocation or by any other method of allocation, which does not take account of the equitable considerations referred to in this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left="620" w:hanging="184"/>
        <w:spacing w:after="0"/>
        <w:tabs>
          <w:tab w:leader="none" w:pos="6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991"/>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This Agreement shall be effective as of the Closing Date, and if the Closing Date has not occurred on or prior to the fifth Trading Day following the date of the Purchase Agreement, unless otherwise mutually agreed, then this Agreement shall be null and void.</w:t>
      </w:r>
    </w:p>
    <w:p>
      <w:pPr>
        <w:sectPr>
          <w:pgSz w:w="11900" w:h="16838" w:orient="portrait"/>
          <w:cols w:equalWidth="0" w:num="1">
            <w:col w:w="11020"/>
          </w:cols>
          <w:pgMar w:left="440" w:top="270" w:right="439" w:bottom="1440" w:gutter="0" w:footer="0" w:header="0"/>
        </w:sectPr>
      </w:pPr>
    </w:p>
    <w:bookmarkStart w:id="70" w:name="page71"/>
    <w:bookmarkEnd w:id="70"/>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This Agreement may be amended only by a writing signed by the Company and the Required Purchasers. The Company may take any action herein prohibited, or omit to perform any act herein required to be performed by it, only if the Company shall have obtained the written consent to such amendment, action or omission to act, of the Required Purchasers.</w:t>
      </w:r>
    </w:p>
    <w:p>
      <w:pPr>
        <w:spacing w:after="0" w:line="176"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provided for or permitted hereunder shall be made as set forth in Section 6.3 of the Purchase Agreement.</w:t>
      </w:r>
    </w:p>
    <w:p>
      <w:pPr>
        <w:spacing w:after="0" w:line="162" w:lineRule="exact"/>
        <w:rPr>
          <w:sz w:val="20"/>
          <w:szCs w:val="20"/>
          <w:color w:val="auto"/>
        </w:rPr>
      </w:pPr>
    </w:p>
    <w:p>
      <w:pPr>
        <w:jc w:val="both"/>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Assignments and Transfers by Purchasers</w:t>
      </w:r>
      <w:r>
        <w:rPr>
          <w:rFonts w:ascii="Times New Roman" w:cs="Times New Roman" w:eastAsia="Times New Roman" w:hAnsi="Times New Roman"/>
          <w:sz w:val="18"/>
          <w:szCs w:val="18"/>
          <w:color w:val="auto"/>
        </w:rPr>
        <w:t>. The provisions of this Agreement shall be binding upon and inure to the benefit of the Purchasers and their respective successors and assigns. A Purchaser may transfer or assign, in whole or from time to time in part, to one or more persons its rights hereunder in connection with the transfer of Registrable Securities by such Purchaser to such person, provided that such Purchaser complies with all laws applicable thereto, and the provisions of the Purchase Agreement, and provides written notice of assignment to the Company promptly after such assignment is effected, and such person agrees in writing to be bound by all of the provisions contained herein.</w:t>
      </w:r>
    </w:p>
    <w:p>
      <w:pPr>
        <w:spacing w:after="0" w:line="183" w:lineRule="exact"/>
        <w:rPr>
          <w:sz w:val="20"/>
          <w:szCs w:val="20"/>
          <w:color w:val="auto"/>
        </w:rPr>
      </w:pPr>
    </w:p>
    <w:p>
      <w:pPr>
        <w:jc w:val="both"/>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Assignments and Transfers by the Company</w:t>
      </w:r>
      <w:r>
        <w:rPr>
          <w:rFonts w:ascii="Times New Roman" w:cs="Times New Roman" w:eastAsia="Times New Roman" w:hAnsi="Times New Roman"/>
          <w:sz w:val="18"/>
          <w:szCs w:val="18"/>
          <w:color w:val="auto"/>
        </w:rPr>
        <w:t xml:space="preserve">. This Agreement may not be assigned by the Company (whether by operation of law or otherwise) without the prior written consent of the Required Purchasers,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Company is a party to a merger, consolidation, share exchange or similar business combination transaction in which the shares of Common Stock are converted into or exchanged for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Purchasers in connection with such transaction unless such securities are otherwise freely tradable by the Purchasers after giving effect to such transaction.</w:t>
      </w:r>
    </w:p>
    <w:p>
      <w:pPr>
        <w:spacing w:after="0" w:line="189" w:lineRule="exact"/>
        <w:rPr>
          <w:sz w:val="20"/>
          <w:szCs w:val="20"/>
          <w:color w:val="auto"/>
        </w:rPr>
      </w:pPr>
    </w:p>
    <w:p>
      <w:pPr>
        <w:jc w:val="both"/>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Benefits of the Agreement</w:t>
      </w:r>
      <w:r>
        <w:rPr>
          <w:rFonts w:ascii="Times New Roman" w:cs="Times New Roman" w:eastAsia="Times New Roman" w:hAnsi="Times New Roman"/>
          <w:sz w:val="18"/>
          <w:szCs w:val="18"/>
          <w:color w:val="auto"/>
        </w:rPr>
        <w:t>. The terms and conditions of this Agreement shall inure to the benefit of and be binding upon the respective permitted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80" w:lineRule="exact"/>
        <w:rPr>
          <w:sz w:val="20"/>
          <w:szCs w:val="20"/>
          <w:color w:val="auto"/>
        </w:rPr>
      </w:pPr>
    </w:p>
    <w:p>
      <w:pPr>
        <w:jc w:val="both"/>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when so executed shall be deemed to be an original and, all of which taken together shall constitute one and the same Agreement and shall become effective when counterparts have been signed by each party and delivered to the other party, it being understood that the parties need not sign the same counterpart. If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was the original thereof.</w:t>
      </w:r>
    </w:p>
    <w:p>
      <w:pPr>
        <w:spacing w:after="0" w:line="183" w:lineRule="exact"/>
        <w:rPr>
          <w:sz w:val="20"/>
          <w:szCs w:val="20"/>
          <w:color w:val="auto"/>
        </w:rPr>
      </w:pPr>
    </w:p>
    <w:p>
      <w:pPr>
        <w:jc w:val="both"/>
        <w:ind w:firstLine="991"/>
        <w:spacing w:after="0" w:line="282"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Titles and Subtitles</w:t>
      </w:r>
      <w:r>
        <w:rPr>
          <w:rFonts w:ascii="Times New Roman" w:cs="Times New Roman" w:eastAsia="Times New Roman" w:hAnsi="Times New Roman"/>
          <w:sz w:val="18"/>
          <w:szCs w:val="18"/>
          <w:color w:val="auto"/>
        </w:rPr>
        <w:t>. The titles and subtitles used in this Agreement are used for convenience only and are not to be considered in construing or interpreting this Agreement.</w:t>
      </w:r>
    </w:p>
    <w:p>
      <w:pPr>
        <w:spacing w:after="0" w:line="162" w:lineRule="exact"/>
        <w:rPr>
          <w:sz w:val="20"/>
          <w:szCs w:val="20"/>
          <w:color w:val="auto"/>
        </w:rPr>
      </w:pPr>
    </w:p>
    <w:p>
      <w:pPr>
        <w:jc w:val="both"/>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that is prohibited or unenforceable in any jurisdiction shall, as to such jurisdiction, be ineffective to the extent of such prohibition or unenforceability without invalidating the remaining provisions hereof but shall be interpreted as if it were written so as to be enforceable to the maximum extent permitted by applicable law, and any such prohibition or unenforceability in any jurisdiction shall not invalidate or render unenforceable such provision in any other jurisdiction. To the extent permitted by applicable law, the parties hereby waive any provision of law which renders any provisions hereof prohibited or unenforceable in any respect.</w:t>
      </w:r>
    </w:p>
    <w:p>
      <w:pPr>
        <w:spacing w:after="0" w:line="183"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parties shall execute and deliver all such further instruments and documents and take all such other actions as may reasonably be required to carry out the transactions contemplated hereby and to evidence the fulfillment of the agreements herein contained.</w:t>
      </w:r>
    </w:p>
    <w:p>
      <w:pPr>
        <w:sectPr>
          <w:pgSz w:w="11900" w:h="16838" w:orient="portrait"/>
          <w:cols w:equalWidth="0" w:num="1">
            <w:col w:w="11020"/>
          </w:cols>
          <w:pgMar w:left="440" w:top="270" w:right="439" w:bottom="1440" w:gutter="0" w:footer="0" w:header="0"/>
        </w:sectPr>
      </w:pPr>
    </w:p>
    <w:bookmarkStart w:id="71" w:name="page72"/>
    <w:bookmarkEnd w:id="71"/>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k.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is intended by the parties as a final expression of their agreement and intended to be a complete and exclusive statement of the agreement and understanding of the parties hereto in respect of the subject matter contained herein. This Agreement supersedes all prior agreements and understandings between the parties with respect to such subject matter.</w:t>
      </w:r>
    </w:p>
    <w:p>
      <w:pPr>
        <w:spacing w:after="0" w:line="176" w:lineRule="exact"/>
        <w:rPr>
          <w:sz w:val="20"/>
          <w:szCs w:val="20"/>
          <w:color w:val="auto"/>
        </w:rPr>
      </w:pPr>
    </w:p>
    <w:p>
      <w:pPr>
        <w:jc w:val="both"/>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u w:val="single" w:color="auto"/>
          <w:color w:val="auto"/>
        </w:rPr>
        <w:t>Governing Law; Consent to Jurisdiction; Waiver of Jury Trial</w:t>
      </w:r>
      <w:r>
        <w:rPr>
          <w:rFonts w:ascii="Times New Roman" w:cs="Times New Roman" w:eastAsia="Times New Roman" w:hAnsi="Times New Roman"/>
          <w:sz w:val="18"/>
          <w:szCs w:val="18"/>
          <w:color w:val="auto"/>
        </w:rPr>
        <w:t>. This Agreement shall be governed by, and construed in accordance with, the internal laws of the State of New York without regard to the choice of law principles thereof. Each of the parties hereto irrevocably submits to the exclusive jurisdiction of the courts of the State of New York located in New York County and the United States District Court for the Southern District of New York for the purpose of any suit, action, proceeding or judgment relating to or arising out of this Agreement and the transactions contemplated hereby. Service of process in connection with any such suit, action or proceeding may be served on each party hereto anywhere in the world by the same methods as are specified for the giving of notices under this Agreement. Each of the parties hereto irrevocably consents to the jurisdiction of any such court in any such suit, action or proceeding and to the laying of venue in such court. Each party hereto irrevocably waives any objection to the laying of venue of any such suit, action or proceeding brought in such courts and irrevocably waives any claim that any such suit, action or proceeding brought in any such court has been brought in an inconvenient forum. EACH OF THE PARTIES HERETO WAIVES ANY RIGHT TO REQUEST A TRIAL BY JURY IN ANY LITIGATION WITH RESPECT TO THIS AGREEMENT AND REPRESENTS THAT COUNSEL HAS BEEN CONSULTED SPECIFICALLY AS TO THIS WAIVER.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ectPr>
          <w:pgSz w:w="11900" w:h="16838" w:orient="portrait"/>
          <w:cols w:equalWidth="0" w:num="1">
            <w:col w:w="11020"/>
          </w:cols>
          <w:pgMar w:left="440" w:top="270" w:right="439" w:bottom="1440" w:gutter="0" w:footer="0" w:header="0"/>
        </w:sectPr>
      </w:pPr>
    </w:p>
    <w:bookmarkStart w:id="72" w:name="page73"/>
    <w:bookmarkEnd w:id="72"/>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executed this Registration Rights Agreement effective as of the day, month and year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written.</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ZYMEWORKS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Kenneth Galbraith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Kenneth Galbraith</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Chair of the Board of Directors and Chief Executive</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Officer</w:t>
      </w:r>
    </w:p>
    <w:p>
      <w:pPr>
        <w:sectPr>
          <w:pgSz w:w="11900" w:h="16838" w:orient="portrait"/>
          <w:cols w:equalWidth="0" w:num="1">
            <w:col w:w="11000"/>
          </w:cols>
          <w:pgMar w:left="440" w:top="266" w:right="459" w:bottom="1440" w:gutter="0" w:footer="0" w:header="0"/>
        </w:sectPr>
      </w:pPr>
    </w:p>
    <w:bookmarkStart w:id="73" w:name="page74"/>
    <w:bookmarkEnd w:id="73"/>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executed this Registration Rights Agreement effective as of the day, month and year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written.</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ECOR1 CAPITAL FUND, L.P.</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EcoR1 Capital, LLC, its General Partner</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Oleg Nodelman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Oleg Nodelman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ECOR1 CAPITAL FUND QUALIFIED, L.P.</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EcoR1 Capital, LLC, its General Partner</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Oleg Nodelman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Oleg Nodelman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Manager</w:t>
      </w:r>
    </w:p>
    <w:p>
      <w:pPr>
        <w:sectPr>
          <w:pgSz w:w="11900" w:h="16838" w:orient="portrait"/>
          <w:cols w:equalWidth="0" w:num="1">
            <w:col w:w="11000"/>
          </w:cols>
          <w:pgMar w:left="440" w:top="266" w:right="459" w:bottom="1440" w:gutter="0" w:footer="0" w:header="0"/>
        </w:sectPr>
      </w:pPr>
    </w:p>
    <w:bookmarkStart w:id="74" w:name="page75"/>
    <w:bookmarkEnd w:id="74"/>
    <w:p>
      <w:pPr>
        <w:jc w:val="center"/>
        <w:ind w:right="-98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3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u w:val="single" w:color="auto"/>
          <w:color w:val="auto"/>
        </w:rPr>
        <w:t>The Purchasers</w:t>
      </w:r>
    </w:p>
    <w:p>
      <w:pPr>
        <w:spacing w:after="0" w:line="215"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1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Purchaser</w:t>
            </w:r>
          </w:p>
        </w:tc>
        <w:tc>
          <w:tcPr>
            <w:tcW w:w="4920" w:type="dxa"/>
            <w:vAlign w:val="bottom"/>
            <w:vMerge w:val="restart"/>
          </w:tcPr>
          <w:p>
            <w:pPr>
              <w:spacing w:after="0"/>
              <w:rPr>
                <w:sz w:val="13"/>
                <w:szCs w:val="13"/>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Pre-Funded</w:t>
            </w:r>
          </w:p>
        </w:tc>
        <w:tc>
          <w:tcPr>
            <w:tcW w:w="100" w:type="dxa"/>
            <w:vAlign w:val="bottom"/>
          </w:tcPr>
          <w:p>
            <w:pPr>
              <w:spacing w:after="0"/>
              <w:rPr>
                <w:sz w:val="13"/>
                <w:szCs w:val="13"/>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80"/>
        </w:trPr>
        <w:tc>
          <w:tcPr>
            <w:tcW w:w="1180" w:type="dxa"/>
            <w:vAlign w:val="bottom"/>
            <w:tcBorders>
              <w:bottom w:val="single" w:sz="8" w:color="auto"/>
            </w:tcBorders>
            <w:vMerge w:val="continue"/>
          </w:tcPr>
          <w:p>
            <w:pPr>
              <w:spacing w:after="0"/>
              <w:rPr>
                <w:sz w:val="15"/>
                <w:szCs w:val="15"/>
                <w:color w:val="auto"/>
              </w:rPr>
            </w:pPr>
          </w:p>
        </w:tc>
        <w:tc>
          <w:tcPr>
            <w:tcW w:w="4920" w:type="dxa"/>
            <w:vAlign w:val="bottom"/>
            <w:vMerge w:val="continue"/>
          </w:tcPr>
          <w:p>
            <w:pPr>
              <w:spacing w:after="0"/>
              <w:rPr>
                <w:sz w:val="15"/>
                <w:szCs w:val="15"/>
                <w:color w:val="auto"/>
              </w:rPr>
            </w:pPr>
          </w:p>
        </w:tc>
        <w:tc>
          <w:tcPr>
            <w:tcW w:w="1080" w:type="dxa"/>
            <w:vAlign w:val="bottom"/>
            <w:gridSpan w:val="2"/>
          </w:tcPr>
          <w:p>
            <w:pPr>
              <w:jc w:val="right"/>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100" w:type="dxa"/>
            <w:vAlign w:val="bottom"/>
          </w:tcPr>
          <w:p>
            <w:pPr>
              <w:spacing w:after="0"/>
              <w:rPr>
                <w:sz w:val="15"/>
                <w:szCs w:val="15"/>
                <w:color w:val="auto"/>
              </w:rPr>
            </w:pPr>
          </w:p>
        </w:tc>
        <w:tc>
          <w:tcPr>
            <w:tcW w:w="108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203"/>
        </w:trPr>
        <w:tc>
          <w:tcPr>
            <w:tcW w:w="61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EcoR1 Capital Fund, L.P.</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268,059</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2,634,993.17</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EcoR1 Capital Fund Qualified, L.P.</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4,818,462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47,364,999.62</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5,086,521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49,999,992.79</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above Purchasers: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EcoR1 Capital Fund,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EcoR1 Capital Fund Qualified,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357 Tehama Street, Floor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 94103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Mintz, Levin, Cohn, Ferris, Glovsky and Popeo,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William C. Hicks; Jeffrey P. Schultz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Financial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02111</w:t>
      </w:r>
    </w:p>
    <w:p>
      <w:pPr>
        <w:sectPr>
          <w:pgSz w:w="11900" w:h="16838" w:orient="portrait"/>
          <w:cols w:equalWidth="0" w:num="1">
            <w:col w:w="10019"/>
          </w:cols>
          <w:pgMar w:left="440" w:top="266" w:right="1440"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registering the shares of Common Stock issuable upon exercise of the pre-funded warrants issued to the selling stockholders to permit the resale of these shares of Common Stock by the holders of the pre-funded warrants from time to time after the date of this prospectus. We will not receive any of the proceeds from the sale by the selling stockholders of the shares of Common Stock. We will bear all fees and expenses incident to our obligation to register the shares of Common Stock.</w:t>
      </w:r>
    </w:p>
    <w:p>
      <w:pPr>
        <w:spacing w:after="0" w:line="18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The selling stockholders may sell all or a portion of the shares of Common Stock beneficially owned by them and offered hereby from time to time directly or through one or more underwriters, broker-dealers or agents. If the shares of Common Stock are sold through underwriters or broker-dealers, the selling stockholders will be responsible for underwriting discounts or commissions or agent’s commissions. The shares of Common Stock may be sold on any national securities exchange or quotation service on which the securities may be listed or quoted at the time of sale, in the over-the-counter market or in transactions otherwise than on these exchanges or systems or in the over-the-counter market and in one or more transactions at fixed prices, at prevailing market prices at the time of the sale, at varying prices determined at the time of sale, or at negotiated prices. These sales may be effected in transactions, which may involve crosses or block transactions. The selling stockholders may use any one or more of the following methods when selling shares:</w:t>
      </w:r>
    </w:p>
    <w:p>
      <w:pPr>
        <w:spacing w:after="0" w:line="97" w:lineRule="exact"/>
        <w:rPr>
          <w:sz w:val="20"/>
          <w:szCs w:val="20"/>
          <w:color w:val="auto"/>
        </w:rPr>
      </w:pPr>
    </w:p>
    <w:p>
      <w:pPr>
        <w:ind w:left="960" w:hanging="424"/>
        <w:spacing w:after="0"/>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30"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effective date of the registration statement of which this prospectus is a part;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shares at a stipulated price per share;</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such options are listed on an options exchange or otherwise;</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shares in open market transactions in reliance upon Rule 144 under the Securities Act, as permitted by that rule, or Section 4(1) under the Securities Act, if available, rather than under this prospectus, provided that they meet the criteria and conform to the requirements of those provisions.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broker-dealers to participate in sales. If the selling stockholders effect such transactions by selling shares of Common Stock to or through underwriters, broker-dealers or agents, such underwriters, broker-dealers or agents may receive commissions in the form of discounts, concessions or commissions from the selling stockholders or commissions from purchasers of the shares of Common Stock for whom they may act as agent or to whom they may sell as principal. Such commissions will be in amounts to be negotiated, but, except as set forth in a supplement to this Prospectus, in the case of an agency transaction will not be in excess of a customary brokerage commission in compliance with FINRA Rule 2440; and in the case of a principal transaction a markup or markdown in compliance with FINRA IM-2440.</w:t>
      </w:r>
    </w:p>
    <w:p>
      <w:pPr>
        <w:sectPr>
          <w:pgSz w:w="11900" w:h="16838" w:orient="portrait"/>
          <w:cols w:equalWidth="0" w:num="1">
            <w:col w:w="11020"/>
          </w:cols>
          <w:pgMar w:left="440" w:top="266" w:right="439" w:bottom="1440" w:gutter="0" w:footer="0" w:header="0"/>
        </w:sectPr>
      </w:pPr>
    </w:p>
    <w:bookmarkStart w:id="76" w:name="page77"/>
    <w:bookmarkEnd w:id="76"/>
    <w:p>
      <w:pPr>
        <w:jc w:val="both"/>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connection with sales of the shares of Common Stock or otherwise, the selling stockholders may enter into hedging transactions with broker-dealers or other financial institutions, which may in turn engage in short sales of the shares of Common Stock in the course of hedging in positions they assume. The selling stockholders may also sell shares of Common Stock short and if such short sale shall take place after the date that this Registration Statement is declared effective by the SEC, the selling stockholders may deliver shares of Common Stock covered by this prospectus to close out short positions and to return borrowed shares in connection with such short sales. The selling stockholders may also loan or pledge shares of Common Stock to broker-dealers that in turn may sell such shares, to the extent permitted by applicable law.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Notwithstanding the foregoing, the selling stockholders have been advised that they may not use shares registered on this registration statement to cover short sales of our common stock made prior to the date the registration statement, of which this prospectus forms a part, has been declared effective by the SEC.</w:t>
      </w:r>
    </w:p>
    <w:p>
      <w:pPr>
        <w:spacing w:after="0" w:line="19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selling stockholders may, from time to time, pledge or grant a security interest in some or all of the pre-funded warrants or shares of Common Stock owned by them following exercise of the pre-funded warrants and, if they default in the performance of their secured obligations, the pledgees or secured parties may offer and sell the shares of Common Stock from time to time pursuant to this prospectus or any amendment to this prospectus under Rule 424(b)(3) or other applicable provision of the Securities Act of 1933, as amended, amending, if necessary, the list of selling stockholders to include the pledgee, transferee or other successors in interest as selling stockholders under this prospectus. The selling stockholders also may transfer and donate the shares of Common Stock in other circumstances in which case the transferees, donees, pledgees or other successors in interest will be the selling beneficial owners for purposes of this prospectus.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selling stockholders and any broker-dealer or agents participating in the distribution of the shares of Common Stock may be deemed to be “underwriters” within the meaning of Section 2(11) of the Securities Act in connection with such sales. In such event, any commissions paid, or any discounts or concessions allowed to, any such broker-dealer or agent and any profit on the resale of the shares purchased by them may be deemed to be underwriting commissions or discounts under the Securities Act. Selling stockholders who are “underwriters” within the meaning of Section 2(11) of the Securities Act will be subject to the applicable prospectus delivery requirements of the Securities Act including Rule 172 thereunder and may be subject to certain statutory liabilities of, including but not limited to, Sections 11, 12 and 17 of the Securities Act and Rule 10b-5 under the Securities Exchange Act of 1934, as amended, or the Exchange Act.</w:t>
      </w:r>
    </w:p>
    <w:p>
      <w:pPr>
        <w:spacing w:after="0" w:line="18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Each selling stockholder has informed the Company that it is not a registered broker-dealer and does not have any written or oral agreement or understanding, directly or indirectly, with any person to distribute the shares of Common Stock. Upon the Company being notified in writing by a selling stockholder that any material arrangement has been entered into with a broker-dealer for the sale of common stock through a block trade, special offering, exchange distribution or secondary distribution or a purchase by a broker or dealer, a supplement to this prospectus will be filed, if required, pursuant to Rule 424(b) under the Securities Act, disclosing (i) the name of each such selling stockholder and of the participating broker-dealer(s), (ii) the number of shares involved, (iii) the price at which such the shares of Common Stock were sold, (iv) the commissions paid or discounts or concessions allowed to such broker-dealer(s), where applicable, (v) that such broker-dealer(s) did not conduct any investigation to verify the information set out or incorporated by reference in this prospectus, and (vi) other facts material to the transaction. In no event shall any broker-dealer receive fees, commissions and markups, which, in the aggregate, would exceed eight percent (8.0%).</w:t>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can be no assurance that any selling stockholder will sell any or all of the shares of Common Stock registered pursuant to the registration statement, of which this prospectus forms a part.</w:t>
      </w:r>
    </w:p>
    <w:p>
      <w:pPr>
        <w:spacing w:after="0" w:line="16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Each selling stockholder and any other person participating in such distribution will be subject to applicable provisions of the Exchange Act and the rules and regulations thereunder, including, without limitation, to the extent applicable, Regulation M of the Exchange Act, which may limit the timing of purchases and sales of any of the shares of Common Stock by the selling stockholder and any other participating person. To the extent applicable,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sectPr>
          <w:pgSz w:w="11900" w:h="16838" w:orient="portrait"/>
          <w:cols w:equalWidth="0" w:num="1">
            <w:col w:w="11020"/>
          </w:cols>
          <w:pgMar w:left="440" w:top="270" w:right="439" w:bottom="1440" w:gutter="0" w:footer="0" w:header="0"/>
        </w:sectPr>
      </w:pPr>
    </w:p>
    <w:bookmarkStart w:id="77" w:name="page78"/>
    <w:bookmarkEnd w:id="77"/>
    <w:p>
      <w:pPr>
        <w:jc w:val="both"/>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We will pay all expenses of the registration of the shares of Common Stock pursuant to the registration rights agreement, including, without limitation, SEC filing fees and expenses of compliance with state securities or “blue sky” laws;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each selling stockholder will pay all underwriting discounts and selling commissions, if any and any related legal expenses incurred by it. We will indemnify the selling stockholders against certain liabilities, including some liabilities under the Securities Act, in accordance with the registration rights agreement, or the selling stockholders will be entitled to contribution. We may be indemnified by the selling stockholders against civil liabilities, including liabilities under the Securities Act, that may arise from any written information furnished to us by the selling stockholders specifically for use in this prospectus, in accordance with the related registration rights agreements, or we may be entitled to contribution.</w:t>
      </w:r>
    </w:p>
    <w:p>
      <w:pPr>
        <w:sectPr>
          <w:pgSz w:w="11900" w:h="16838" w:orient="portrait"/>
          <w:cols w:equalWidth="0" w:num="1">
            <w:col w:w="11020"/>
          </w:cols>
          <w:pgMar w:left="440" w:top="270" w:right="4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SELLING STOCKHOLDER NOTICE AND QUESTIONNAIRE</w:t>
      </w:r>
    </w:p>
    <w:p>
      <w:pPr>
        <w:spacing w:after="0" w:line="223" w:lineRule="exact"/>
        <w:rPr>
          <w:sz w:val="20"/>
          <w:szCs w:val="20"/>
          <w:color w:val="auto"/>
        </w:rPr>
      </w:pPr>
    </w:p>
    <w:p>
      <w:pPr>
        <w:jc w:val="both"/>
        <w:ind w:firstLine="440"/>
        <w:spacing w:after="0" w:line="255" w:lineRule="auto"/>
        <w:rPr>
          <w:sz w:val="20"/>
          <w:szCs w:val="20"/>
          <w:color w:val="auto"/>
        </w:rPr>
      </w:pPr>
      <w:r>
        <w:rPr>
          <w:rFonts w:ascii="Times New Roman" w:cs="Times New Roman" w:eastAsia="Times New Roman" w:hAnsi="Times New Roman"/>
          <w:sz w:val="18"/>
          <w:szCs w:val="18"/>
          <w:color w:val="auto"/>
        </w:rPr>
        <w:t>The undersigned holder of pre-funded common stock warrants of Zymeworks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issued pursuant to a certain Securities Purchase Agreement by and among the Company and the Purchasers named therein, dated as of December 23, 2023 (the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understands that the Company intends to file with the Securities and Exchange Commission a registration statement or, as and if applicable, a prospectus supplement to a currently effective shelf registration statement on Form S-3ASR (the “</w:t>
      </w:r>
      <w:r>
        <w:rPr>
          <w:rFonts w:ascii="Times New Roman" w:cs="Times New Roman" w:eastAsia="Times New Roman" w:hAnsi="Times New Roman"/>
          <w:sz w:val="18"/>
          <w:szCs w:val="18"/>
          <w:i w:val="1"/>
          <w:iCs w:val="1"/>
          <w:color w:val="auto"/>
        </w:rPr>
        <w:t>Resale Registration Statement</w:t>
      </w:r>
      <w:r>
        <w:rPr>
          <w:rFonts w:ascii="Times New Roman" w:cs="Times New Roman" w:eastAsia="Times New Roman" w:hAnsi="Times New Roman"/>
          <w:sz w:val="18"/>
          <w:szCs w:val="18"/>
          <w:color w:val="auto"/>
        </w:rPr>
        <w:t>”) for the registration and the resale under Rule 415 of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of the Registrable Securities in accordance with the terms of the Agreement and the Registration Rights Agreement by and among the Company and the Purchasers named therein, dated as of December 23, 2023 (the “</w:t>
      </w:r>
      <w:r>
        <w:rPr>
          <w:rFonts w:ascii="Times New Roman" w:cs="Times New Roman" w:eastAsia="Times New Roman" w:hAnsi="Times New Roman"/>
          <w:sz w:val="18"/>
          <w:szCs w:val="18"/>
          <w:i w:val="1"/>
          <w:iCs w:val="1"/>
          <w:color w:val="auto"/>
        </w:rPr>
        <w:t>Registration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All capitalized terms not otherwise defined herein shall have the meanings ascribed thereto in the Agreement and the Registration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as applicable.</w:t>
      </w:r>
    </w:p>
    <w:p>
      <w:pPr>
        <w:spacing w:after="0" w:line="187" w:lineRule="exact"/>
        <w:rPr>
          <w:sz w:val="20"/>
          <w:szCs w:val="20"/>
          <w:color w:val="auto"/>
        </w:rPr>
      </w:pPr>
    </w:p>
    <w:p>
      <w:pPr>
        <w:jc w:val="both"/>
        <w:ind w:firstLine="440"/>
        <w:spacing w:after="0" w:line="254" w:lineRule="auto"/>
        <w:rPr>
          <w:sz w:val="20"/>
          <w:szCs w:val="20"/>
          <w:color w:val="auto"/>
        </w:rPr>
      </w:pPr>
      <w:r>
        <w:rPr>
          <w:rFonts w:ascii="Times New Roman" w:cs="Times New Roman" w:eastAsia="Times New Roman" w:hAnsi="Times New Roman"/>
          <w:sz w:val="18"/>
          <w:szCs w:val="18"/>
          <w:color w:val="auto"/>
        </w:rPr>
        <w:t>In order to sell or otherwise dispose of any Registrable Securities pursuant to the Resale Registration Statement, a holder of Registrable Securities generally will be required to be named as a selling stockholder in the related prospectus or a supplement thereto (as so supplemented, the “</w:t>
      </w:r>
      <w:r>
        <w:rPr>
          <w:rFonts w:ascii="Times New Roman" w:cs="Times New Roman" w:eastAsia="Times New Roman" w:hAnsi="Times New Roman"/>
          <w:sz w:val="18"/>
          <w:szCs w:val="18"/>
          <w:i w:val="1"/>
          <w:iCs w:val="1"/>
          <w:color w:val="auto"/>
        </w:rPr>
        <w:t>Prospectus</w:t>
      </w:r>
      <w:r>
        <w:rPr>
          <w:rFonts w:ascii="Times New Roman" w:cs="Times New Roman" w:eastAsia="Times New Roman" w:hAnsi="Times New Roman"/>
          <w:sz w:val="18"/>
          <w:szCs w:val="18"/>
          <w:color w:val="auto"/>
        </w:rPr>
        <w:t xml:space="preserve">”), deliver the Prospectus to purchasers of Registrable Securities (including pursuant to Rule 172 under the Securities Act) and be bound by the provisions of the Registration Rights Agreement (including certain indemnification provisions, as described below). Holders must complete and deliver this Notice and Questionnaire in order to be named as selling stockholders in the Prospectus. </w:t>
      </w:r>
      <w:r>
        <w:rPr>
          <w:rFonts w:ascii="Times New Roman" w:cs="Times New Roman" w:eastAsia="Times New Roman" w:hAnsi="Times New Roman"/>
          <w:sz w:val="18"/>
          <w:szCs w:val="18"/>
          <w:b w:val="1"/>
          <w:bCs w:val="1"/>
          <w:color w:val="auto"/>
        </w:rPr>
        <w:t>Holders of Registrable Securities who do not complete, execute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return this Notice and Questionnaire within three (3) Trading Days following the date of the Registration Rights Agreement (1) will not be named as selling stockholders in the Resale Registration Statement or the Prospectus and (2) may not use the Prospectus for resales of Registrable Securities.</w:t>
      </w:r>
    </w:p>
    <w:p>
      <w:pPr>
        <w:spacing w:after="0" w:line="192"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Certain legal consequences arise from being named as a selling stockholder in the Resale Registration Statement and the Prospectus. Holders of Registrable Securities are advised to consult their own securities law counsel regarding the consequences of being named or not named as a selling stockholder in the Resale Registration Statement and the Prospectus.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w:t>
      </w:r>
    </w:p>
    <w:p>
      <w:pPr>
        <w:spacing w:after="0" w:line="227"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The undersigned holder (the “</w:t>
      </w:r>
      <w:r>
        <w:rPr>
          <w:rFonts w:ascii="Times New Roman" w:cs="Times New Roman" w:eastAsia="Times New Roman" w:hAnsi="Times New Roman"/>
          <w:sz w:val="18"/>
          <w:szCs w:val="18"/>
          <w:i w:val="1"/>
          <w:iCs w:val="1"/>
          <w:color w:val="auto"/>
        </w:rPr>
        <w:t>Selling Stockholder</w:t>
      </w:r>
      <w:r>
        <w:rPr>
          <w:rFonts w:ascii="Times New Roman" w:cs="Times New Roman" w:eastAsia="Times New Roman" w:hAnsi="Times New Roman"/>
          <w:sz w:val="18"/>
          <w:szCs w:val="18"/>
          <w:color w:val="auto"/>
        </w:rPr>
        <w:t>”) of Registrable Securities hereby gives notice to the Company of its intention to sell or otherwise dispose of Registrable Securities owned by it and listed below in Item (3), unless otherwise specified in Item (3), pursuant to the Resale Registration Statement. The undersigned, by signing and returning this Notice and Questionnaire, understands and agrees that it will be bound by the terms and conditions of this Notice and Questionnaire, the Agreement and the Registration Rights Agreement.</w:t>
      </w:r>
    </w:p>
    <w:p>
      <w:pPr>
        <w:sectPr>
          <w:pgSz w:w="11900" w:h="16838" w:orient="portrait"/>
          <w:cols w:equalWidth="0" w:num="1">
            <w:col w:w="11020"/>
          </w:cols>
          <w:pgMar w:left="440" w:top="266" w:right="439" w:bottom="1440" w:gutter="0" w:footer="0" w:header="0"/>
        </w:sectPr>
      </w:pPr>
    </w:p>
    <w:bookmarkStart w:id="79" w:name="page80"/>
    <w:bookmarkEnd w:id="79"/>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undersigned hereby provides the following information to the Company and represents and warrants that such information is accurate and complete:</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QUESTIONNAIRE</w:t>
      </w:r>
    </w:p>
    <w:p>
      <w:pPr>
        <w:spacing w:after="0" w:line="252" w:lineRule="exact"/>
        <w:rPr>
          <w:sz w:val="20"/>
          <w:szCs w:val="20"/>
          <w:color w:val="auto"/>
        </w:rPr>
      </w:pPr>
    </w:p>
    <w:p>
      <w:pPr>
        <w:ind w:left="244" w:hanging="244"/>
        <w:spacing w:after="0"/>
        <w:tabs>
          <w:tab w:leader="none" w:pos="24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Name.</w:t>
      </w:r>
    </w:p>
    <w:p>
      <w:pPr>
        <w:spacing w:after="0" w:line="121" w:lineRule="exact"/>
        <w:rPr>
          <w:rFonts w:ascii="Times New Roman" w:cs="Times New Roman" w:eastAsia="Times New Roman" w:hAnsi="Times New Roman"/>
          <w:sz w:val="18"/>
          <w:szCs w:val="18"/>
          <w:color w:val="auto"/>
        </w:rPr>
      </w:pPr>
    </w:p>
    <w:p>
      <w:pPr>
        <w:ind w:left="884" w:hanging="641"/>
        <w:spacing w:after="0"/>
        <w:tabs>
          <w:tab w:leader="none" w:pos="88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Selling Stockholder:</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884" w:hanging="641"/>
        <w:spacing w:after="0"/>
        <w:tabs>
          <w:tab w:leader="none" w:pos="88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Registered Holder (if not the same as (a) above) through which Registrable Securities Listed in Item 3 below are held:</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884" w:hanging="641"/>
        <w:spacing w:after="0" w:line="282" w:lineRule="auto"/>
        <w:tabs>
          <w:tab w:leader="none" w:pos="88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Natural Control Person (which means a natural person who directly or indirectly alone or with others has power to vote or dispose of the securities covered by the questionnaire):</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884" w:hanging="641"/>
        <w:spacing w:after="0"/>
        <w:tabs>
          <w:tab w:leader="none" w:pos="88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 of Natural Control Person to Selling Stockholder or Registered Holder (if different):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for Notices to Selling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-1968500</wp:posOffset>
            </wp:positionV>
            <wp:extent cx="642937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-1539875</wp:posOffset>
            </wp:positionV>
            <wp:extent cx="642937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-974090</wp:posOffset>
            </wp:positionV>
            <wp:extent cx="642937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-545465</wp:posOffset>
            </wp:positionV>
            <wp:extent cx="642937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234315</wp:posOffset>
            </wp:positionV>
            <wp:extent cx="69951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388620</wp:posOffset>
            </wp:positionV>
            <wp:extent cx="69951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542925</wp:posOffset>
            </wp:positionV>
            <wp:extent cx="69951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154305</wp:posOffset>
            </wp:positionV>
            <wp:extent cx="678053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780530" cy="8255"/>
                    </a:xfrm>
                    <a:prstGeom prst="rect">
                      <a:avLst/>
                    </a:prstGeom>
                    <a:noFill/>
                  </pic:spPr>
                </pic:pic>
              </a:graphicData>
            </a:graphic>
          </wp:anchor>
        </w:drawing>
      </w:r>
    </w:p>
    <w:p>
      <w:pPr>
        <w:spacing w:after="0" w:line="232"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154305</wp:posOffset>
            </wp:positionV>
            <wp:extent cx="678053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780530" cy="8890"/>
                    </a:xfrm>
                    <a:prstGeom prst="rect">
                      <a:avLst/>
                    </a:prstGeom>
                    <a:noFill/>
                  </pic:spPr>
                </pic:pic>
              </a:graphicData>
            </a:graphic>
          </wp:anchor>
        </w:drawing>
      </w:r>
    </w:p>
    <w:p>
      <w:pPr>
        <w:spacing w:after="0" w:line="232"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Contact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154305</wp:posOffset>
            </wp:positionV>
            <wp:extent cx="678053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780530" cy="8255"/>
                    </a:xfrm>
                    <a:prstGeom prst="rect">
                      <a:avLst/>
                    </a:prstGeom>
                    <a:noFill/>
                  </pic:spPr>
                </pic:pic>
              </a:graphicData>
            </a:graphic>
          </wp:anchor>
        </w:drawing>
      </w:r>
    </w:p>
    <w:p>
      <w:pPr>
        <w:spacing w:after="0" w:line="232"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color w:val="auto"/>
        </w:rPr>
        <w:t>E-mail address of Contact Person:______________________________________________________________________________</w:t>
      </w:r>
    </w:p>
    <w:p>
      <w:pPr>
        <w:spacing w:after="0" w:line="329" w:lineRule="exact"/>
        <w:rPr>
          <w:sz w:val="20"/>
          <w:szCs w:val="20"/>
          <w:color w:val="auto"/>
        </w:rPr>
      </w:pPr>
    </w:p>
    <w:p>
      <w:pPr>
        <w:ind w:left="184" w:hanging="184"/>
        <w:spacing w:after="0"/>
        <w:tabs>
          <w:tab w:leader="none" w:pos="184"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Beneficial Ownership of Registrable Securities Issuable Pursuant to the Agreement:</w:t>
      </w:r>
    </w:p>
    <w:p>
      <w:pPr>
        <w:spacing w:after="0" w:line="134" w:lineRule="exact"/>
        <w:rPr>
          <w:rFonts w:ascii="Times New Roman" w:cs="Times New Roman" w:eastAsia="Times New Roman" w:hAnsi="Times New Roman"/>
          <w:sz w:val="18"/>
          <w:szCs w:val="18"/>
          <w:b w:val="1"/>
          <w:bCs w:val="1"/>
          <w:color w:val="auto"/>
        </w:rPr>
      </w:pPr>
    </w:p>
    <w:p>
      <w:pPr>
        <w:ind w:left="664" w:hanging="354"/>
        <w:spacing w:after="0"/>
        <w:tabs>
          <w:tab w:leader="none" w:pos="66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and Number of Registrable Securities beneficially owned and issued pursuant to the Agreement: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2" w:lineRule="exact"/>
        <w:rPr>
          <w:rFonts w:ascii="Times New Roman" w:cs="Times New Roman" w:eastAsia="Times New Roman" w:hAnsi="Times New Roman"/>
          <w:sz w:val="18"/>
          <w:szCs w:val="18"/>
          <w:color w:val="auto"/>
        </w:rPr>
      </w:pPr>
    </w:p>
    <w:p>
      <w:pPr>
        <w:ind w:left="664" w:hanging="354"/>
        <w:spacing w:after="0"/>
        <w:tabs>
          <w:tab w:leader="none" w:pos="66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number of shares of Registrable Securities to be registered pursuant to this Notice for resale: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8"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Broker-Dealer Status:</w:t>
      </w:r>
    </w:p>
    <w:p>
      <w:pPr>
        <w:spacing w:after="0" w:line="134"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you a broker-dealer?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wp:posOffset>
            </wp:positionH>
            <wp:positionV relativeFrom="paragraph">
              <wp:posOffset>-1602105</wp:posOffset>
            </wp:positionV>
            <wp:extent cx="65747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574790" cy="8890"/>
                    </a:xfrm>
                    <a:prstGeom prst="rect">
                      <a:avLst/>
                    </a:prstGeom>
                    <a:noFill/>
                  </pic:spPr>
                </pic:pic>
              </a:graphicData>
            </a:graphic>
          </wp:anchor>
        </w:drawing>
        <w:drawing>
          <wp:anchor simplePos="0" relativeHeight="251657728" behindDoc="1" locked="0" layoutInCell="0" allowOverlap="1">
            <wp:simplePos x="0" y="0"/>
            <wp:positionH relativeFrom="column">
              <wp:posOffset>419735</wp:posOffset>
            </wp:positionH>
            <wp:positionV relativeFrom="paragraph">
              <wp:posOffset>-1447800</wp:posOffset>
            </wp:positionV>
            <wp:extent cx="65747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574790" cy="8890"/>
                    </a:xfrm>
                    <a:prstGeom prst="rect">
                      <a:avLst/>
                    </a:prstGeom>
                    <a:noFill/>
                  </pic:spPr>
                </pic:pic>
              </a:graphicData>
            </a:graphic>
          </wp:anchor>
        </w:drawing>
        <w:drawing>
          <wp:anchor simplePos="0" relativeHeight="251657728" behindDoc="1" locked="0" layoutInCell="0" allowOverlap="1">
            <wp:simplePos x="0" y="0"/>
            <wp:positionH relativeFrom="column">
              <wp:posOffset>419735</wp:posOffset>
            </wp:positionH>
            <wp:positionV relativeFrom="paragraph">
              <wp:posOffset>-1293495</wp:posOffset>
            </wp:positionV>
            <wp:extent cx="65747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419735</wp:posOffset>
            </wp:positionH>
            <wp:positionV relativeFrom="paragraph">
              <wp:posOffset>-864870</wp:posOffset>
            </wp:positionV>
            <wp:extent cx="65747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419735</wp:posOffset>
            </wp:positionH>
            <wp:positionV relativeFrom="paragraph">
              <wp:posOffset>-710565</wp:posOffset>
            </wp:positionV>
            <wp:extent cx="65747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419735</wp:posOffset>
            </wp:positionH>
            <wp:positionV relativeFrom="paragraph">
              <wp:posOffset>-556260</wp:posOffset>
            </wp:positionV>
            <wp:extent cx="65747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574790" cy="8255"/>
                    </a:xfrm>
                    <a:prstGeom prst="rect">
                      <a:avLst/>
                    </a:prstGeom>
                    <a:noFill/>
                  </pic:spPr>
                </pic:pic>
              </a:graphicData>
            </a:graphic>
          </wp:anchor>
        </w:drawing>
      </w:r>
    </w:p>
    <w:p>
      <w:pPr>
        <w:spacing w:after="0" w:line="56" w:lineRule="exact"/>
        <w:rPr>
          <w:sz w:val="20"/>
          <w:szCs w:val="20"/>
          <w:color w:val="auto"/>
        </w:rPr>
      </w:pPr>
    </w:p>
    <w:p>
      <w:pPr>
        <w:jc w:val="center"/>
        <w:ind w:right="-3"/>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No</w:t>
      </w:r>
      <w:r>
        <w:rPr>
          <w:rFonts w:ascii="MS PGothic" w:cs="MS PGothic" w:eastAsia="MS PGothic" w:hAnsi="MS PGothic"/>
          <w:sz w:val="17"/>
          <w:szCs w:val="17"/>
          <w:color w:val="auto"/>
        </w:rPr>
        <w:t>☐</w:t>
      </w:r>
    </w:p>
    <w:p>
      <w:pPr>
        <w:sectPr>
          <w:pgSz w:w="11900" w:h="16838" w:orient="portrait"/>
          <w:cols w:equalWidth="0" w:num="1">
            <w:col w:w="11004"/>
          </w:cols>
          <w:pgMar w:left="436" w:top="270" w:right="459" w:bottom="1440" w:gutter="0" w:footer="0" w:header="0"/>
        </w:sectPr>
      </w:pPr>
    </w:p>
    <w:bookmarkStart w:id="80" w:name="page81"/>
    <w:bookmarkEnd w:id="80"/>
    <w:p>
      <w:pPr>
        <w:ind w:left="4920" w:right="340" w:hanging="4492"/>
        <w:spacing w:after="0" w:line="347" w:lineRule="exact"/>
        <w:tabs>
          <w:tab w:leader="none" w:pos="96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“yes” to Section 4(a), did you receive your Registrable Securities as compensation for investment banking services to the Company?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If no, the SEC’s staff has indicated that you should be identified as an underwriter in the Registration Statement.</w:t>
      </w:r>
    </w:p>
    <w:p>
      <w:pPr>
        <w:spacing w:after="0" w:line="131" w:lineRule="exact"/>
        <w:rPr>
          <w:sz w:val="20"/>
          <w:szCs w:val="20"/>
          <w:color w:val="auto"/>
        </w:rPr>
      </w:pPr>
    </w:p>
    <w:p>
      <w:pPr>
        <w:ind w:left="960" w:hanging="532"/>
        <w:spacing w:after="0"/>
        <w:tabs>
          <w:tab w:leader="none" w:pos="9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you an affiliate of a broker-dealer?</w:t>
      </w:r>
    </w:p>
    <w:p>
      <w:pPr>
        <w:spacing w:after="0" w:line="76" w:lineRule="exact"/>
        <w:rPr>
          <w:sz w:val="20"/>
          <w:szCs w:val="20"/>
          <w:color w:val="auto"/>
        </w:rPr>
      </w:pPr>
    </w:p>
    <w:p>
      <w:pPr>
        <w:jc w:val="center"/>
        <w:ind w:right="20"/>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Note:  If yes, provide a narrative explanation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163195</wp:posOffset>
            </wp:positionV>
            <wp:extent cx="636905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342900</wp:posOffset>
            </wp:positionV>
            <wp:extent cx="636905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3690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960" w:hanging="532"/>
        <w:spacing w:after="0" w:line="266" w:lineRule="auto"/>
        <w:tabs>
          <w:tab w:leader="none" w:pos="9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an affiliate of a broker-dealer, do you certify that you bought the Registrable Securities in the ordinary course of business, and at the time of the purchase of the Registrable Securities to be resold, you had no agreements or understandings, directly or indirectly, with any person to distribute the Registrable Securities?</w:t>
      </w:r>
    </w:p>
    <w:p>
      <w:pPr>
        <w:spacing w:after="0" w:line="135" w:lineRule="exact"/>
        <w:rPr>
          <w:sz w:val="20"/>
          <w:szCs w:val="20"/>
          <w:color w:val="auto"/>
        </w:rPr>
      </w:pPr>
    </w:p>
    <w:p>
      <w:pPr>
        <w:jc w:val="center"/>
        <w:ind w:right="20"/>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Note:  If no, the SEC’s staff has indicated that you should be identified as an underwriter in the Registration Statement.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Beneficial Ownership of Other Securities of the Company Owned by the Selling Stockholder.</w:t>
      </w:r>
    </w:p>
    <w:p>
      <w:pPr>
        <w:spacing w:after="0" w:line="119" w:lineRule="exact"/>
        <w:rPr>
          <w:sz w:val="20"/>
          <w:szCs w:val="20"/>
          <w:color w:val="auto"/>
        </w:rPr>
      </w:pPr>
    </w:p>
    <w:p>
      <w:pPr>
        <w:jc w:val="both"/>
        <w:ind w:left="440"/>
        <w:spacing w:after="0" w:line="267" w:lineRule="auto"/>
        <w:rPr>
          <w:sz w:val="20"/>
          <w:szCs w:val="20"/>
          <w:color w:val="auto"/>
        </w:rPr>
      </w:pPr>
      <w:r>
        <w:rPr>
          <w:rFonts w:ascii="Times New Roman" w:cs="Times New Roman" w:eastAsia="Times New Roman" w:hAnsi="Times New Roman"/>
          <w:sz w:val="18"/>
          <w:szCs w:val="18"/>
          <w:i w:val="1"/>
          <w:iCs w:val="1"/>
          <w:color w:val="auto"/>
        </w:rPr>
        <w:t>Except as set forth below in this Item 5, the undersigned is not the beneficial or registered owner of any securities of the Company other than the Registrable Securities listed above in Item 3 and the undersigned does not have the right to acquire any securities of the Company within 60 days after the date of this Notice through the exercise of options, warrants or otherwise.</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Type and amount of other securities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163195</wp:posOffset>
            </wp:positionV>
            <wp:extent cx="671195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71195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342900</wp:posOffset>
            </wp:positionV>
            <wp:extent cx="671195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711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Relationships with the Company:</w:t>
      </w:r>
    </w:p>
    <w:p>
      <w:pPr>
        <w:spacing w:after="0" w:line="119" w:lineRule="exact"/>
        <w:rPr>
          <w:sz w:val="20"/>
          <w:szCs w:val="20"/>
          <w:color w:val="auto"/>
        </w:rPr>
      </w:pPr>
    </w:p>
    <w:p>
      <w:pPr>
        <w:jc w:val="both"/>
        <w:ind w:left="440" w:right="20"/>
        <w:spacing w:after="0" w:line="267" w:lineRule="auto"/>
        <w:rPr>
          <w:sz w:val="20"/>
          <w:szCs w:val="20"/>
          <w:color w:val="auto"/>
        </w:rPr>
      </w:pPr>
      <w:r>
        <w:rPr>
          <w:rFonts w:ascii="Times New Roman" w:cs="Times New Roman" w:eastAsia="Times New Roman" w:hAnsi="Times New Roman"/>
          <w:sz w:val="18"/>
          <w:szCs w:val="18"/>
          <w:i w:val="1"/>
          <w:iCs w:val="1"/>
          <w:color w:val="auto"/>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State any exceptions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171450</wp:posOffset>
            </wp:positionV>
            <wp:extent cx="671195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351790</wp:posOffset>
            </wp:positionV>
            <wp:extent cx="671195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711950" cy="889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 Plan of Distribution:</w:t>
      </w:r>
    </w:p>
    <w:p>
      <w:pPr>
        <w:spacing w:after="0" w:line="335" w:lineRule="exact"/>
        <w:rPr>
          <w:sz w:val="20"/>
          <w:szCs w:val="20"/>
          <w:color w:val="auto"/>
        </w:rPr>
      </w:pPr>
    </w:p>
    <w:p>
      <w:pPr>
        <w:ind w:left="440"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undersigned has reviewed the form of Plan of Distribution attached as Exhibit A to the Registration Rights Agreement, and hereby confirms that, except as set forth below, the information contained therein regarding the undersigned and its plan of distribution is correct and complete.</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State any exceptions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240030</wp:posOffset>
            </wp:positionV>
            <wp:extent cx="636905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420370</wp:posOffset>
            </wp:positionV>
            <wp:extent cx="636905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3690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undersigned agrees to promptly notify the Company of any inaccuracies or changes in the information provided herein that may occur subsequent to the date hereof and prior to the effective date of any applicable Resale Registration Statement. All notices hereunder and pursuant to the Registration Rights Agreement shall be made in accordance with the notice provisions contained in the Agreement. In the absence of any such notification, the Company shall be entitled to continue to rely on the accuracy of the information in this Notice and Questionnaire.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signing below, the undersigned consents to the disclosure of the information contained herein in its answers to Items (1) through (7) above and the inclusion of such information in the Resale Registration Statement and the Prospectus. The undersigned understands that such information will be relied upon by the Company in connection with the preparation or amendment of any such Registration Statement and the Prospectus.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Once this Notice and Questionnaire is executed by the undersigned and received by the Company, the terms of this Notice and Questionnaire, and the representations and warranties contained herein, shall be binding on, shall inure to the benefit of and shall be enforceable by the respective successors, heirs, personal representatives, and assigns of the Company and the undersigned with respect to the Registrable Securities beneficially owned by the undersigned and listed in Item (3) above.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By signing below, the undersigned acknowledges that it understands its obligation to comply, and agrees that it will comply, with the provisions of the Exchange Act and the rules and regulations thereunder, particularly Regulation M in connection with any offering of Registrable Securities pursuant to the Resale Registration Statement. The undersigned also acknowledges that it understands that the answers to this Notice and Questionnaire are furnished for use in connection with Registration Statements filed pursuant to the Registration Rights Agreement and any amendments or supplements thereto filed with the SEC pursuant to the Securities Act.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undersigned hereby acknowledges and is advised of the following Interpretation A.65 of the July 1997 SEC Manual of Publicly Available Telephone Interpretations regarding short selling:</w:t>
      </w:r>
    </w:p>
    <w:p>
      <w:pPr>
        <w:spacing w:after="0" w:line="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“An Issuer filed a Form S-3 registration statement for a secondary offering of common stock which is not yet effective. One of the selling stockholders wanted to do a short sale of common stock “against the box” and cover the short sale with registered shares after the effective date. The issuer was advised that the short sale could not be made before the registration statement become effective, because the shares underlying the short sale are deemed to be sold at the time such sale is made. There would, therefore, be a violation of Section 5 if the shares were effectively sold prior to the effective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returning this Questionnaire, the undersigned will be deemed to be aware of the foregoing interpretation.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 confirm that, to the best of my knowledge and belief, the foregoing statements (including without limitation the answers to this Questionnaire) are correct.</w:t>
      </w:r>
    </w:p>
    <w:p>
      <w:pPr>
        <w:sectPr>
          <w:pgSz w:w="11900" w:h="16838" w:orient="portrait"/>
          <w:cols w:equalWidth="0" w:num="1">
            <w:col w:w="11020"/>
          </w:cols>
          <w:pgMar w:left="440" w:top="266" w:right="439" w:bottom="1440" w:gutter="0" w:footer="0" w:header="0"/>
        </w:sectPr>
      </w:pPr>
    </w:p>
    <w:bookmarkStart w:id="82" w:name="page83"/>
    <w:bookmarkEnd w:id="82"/>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by authority duly given, has caused this Questionnaire to be executed and delivered either in person or by its duly authorized agent.</w:t>
      </w:r>
    </w:p>
    <w:p>
      <w:pPr>
        <w:spacing w:after="0" w:line="189" w:lineRule="exact"/>
        <w:rPr>
          <w:sz w:val="20"/>
          <w:szCs w:val="20"/>
          <w:color w:val="auto"/>
        </w:rPr>
      </w:pPr>
    </w:p>
    <w:p>
      <w:pPr>
        <w:spacing w:after="0"/>
        <w:tabs>
          <w:tab w:leader="none" w:pos="594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17145</wp:posOffset>
            </wp:positionV>
            <wp:extent cx="293179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931795" cy="8255"/>
                    </a:xfrm>
                    <a:prstGeom prst="rect">
                      <a:avLst/>
                    </a:prstGeom>
                    <a:noFill/>
                  </pic:spPr>
                </pic:pic>
              </a:graphicData>
            </a:graphic>
          </wp:anchor>
        </w:drawing>
        <w:drawing>
          <wp:anchor simplePos="0" relativeHeight="251657728" behindDoc="1" locked="0" layoutInCell="0" allowOverlap="1">
            <wp:simplePos x="0" y="0"/>
            <wp:positionH relativeFrom="column">
              <wp:posOffset>4672965</wp:posOffset>
            </wp:positionH>
            <wp:positionV relativeFrom="paragraph">
              <wp:posOffset>-7620</wp:posOffset>
            </wp:positionV>
            <wp:extent cx="231394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313940" cy="8890"/>
                    </a:xfrm>
                    <a:prstGeom prst="rect">
                      <a:avLst/>
                    </a:prstGeom>
                    <a:noFill/>
                  </pic:spPr>
                </pic:pic>
              </a:graphicData>
            </a:graphic>
          </wp:anchor>
        </w:drawing>
        <w:drawing>
          <wp:anchor simplePos="0" relativeHeight="251657728" behindDoc="1" locked="0" layoutInCell="0" allowOverlap="1">
            <wp:simplePos x="0" y="0"/>
            <wp:positionH relativeFrom="column">
              <wp:posOffset>3786505</wp:posOffset>
            </wp:positionH>
            <wp:positionV relativeFrom="paragraph">
              <wp:posOffset>128905</wp:posOffset>
            </wp:positionV>
            <wp:extent cx="6858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17145</wp:posOffset>
            </wp:positionV>
            <wp:extent cx="293179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Title:</w:t>
      </w:r>
    </w:p>
    <w:p>
      <w:pPr>
        <w:spacing w:after="0" w:line="31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PLEASE EMAIL A COPY OF THE COMPLETED AND EXECUTED NOTICE AND QUESTIONNAIRE, AND RETURN THE ORIGINAL BY OVERNIGHT MAIL, TO:</w:t>
      </w:r>
    </w:p>
    <w:p>
      <w:pPr>
        <w:spacing w:after="0" w:line="5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Wilson Sonsini Goodrich &amp; Rosati, P.C.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Jason Oh</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701 Fifth Avenue, Suite 5100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Seattle, WA 98104</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Tel: (206) 661-1391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w:t>
      </w:r>
    </w:p>
    <w:p>
      <w:pPr>
        <w:sectPr>
          <w:pgSz w:w="11900" w:h="16838" w:orient="portrait"/>
          <w:cols w:equalWidth="0" w:num="1">
            <w:col w:w="11000"/>
          </w:cols>
          <w:pgMar w:left="440" w:top="270" w:right="459" w:bottom="1440" w:gutter="0" w:footer="0" w:header="0"/>
        </w:sectPr>
      </w:pPr>
    </w:p>
    <w:bookmarkStart w:id="83" w:name="page84"/>
    <w:bookmarkEnd w:id="83"/>
    <w:p>
      <w:pPr>
        <w:ind w:left="10080"/>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THE OFFER AND SALE OF THESE SECURITIES AND THE SECURITIES ISSUABLE UPON EXERCISE OF THESE SECURITIES HAVE NOT BEEN REGISTERED UNDER THE SECURITIES ACT OF 1933, AS AMENDED (THE “SECURITIES ACT”), OR ANY APPLICABLE STATE SECURITIES LAWS. THE SECURITIES MAY NOT BE OFFERED FOR SALE, SOLD, TRANSFERRED, ASSIGNED OR OTHERWISE DISPOSED OF (I) IN THE ABSENCE OF (A) AN EFFECTIVE REGISTRATION STATEMENT FOR THE SECURITIES UNDER THE SECURITIES ACT OR (B) AN AVAILABLE EXEMPTION FROM, OR IN A TRANSACTION NOT SUBJECT TO, THE REGISTRATION REQUIREMENTS OF THE SECURITIES ACT AND IN EACH CASE IN ACCORDANCE WITH APPLICABLE STATE SECURITIES LAWS OR BLUE SKY LAWS AS EVIDENCED BY A LEGAL OPINION OF COUNSEL REASONABLY SATISFACTORY TO THE COMPANY AND ITS TRANSFER AGENT OR (II) UNLESS SOLD PURSUANT TO RULE 144 UNDER THE SECURITIES ACT. NOTWITHSTANDING THE FOREGOING, THE SECURITIES MAY BE PLEDGED IN CONNECTION WITH A BONA FIDE MARGIN ACCOUNT OR OTHER LOAN OR FINANCING ARRANGEMENT SECURED BY THE SECURITIES; PROVIDED THAT IN CONNECTION WITH ANY FORECLOSURE OR TRANSFER OF THE SECURITIES, THE TRANSFEROR SHALL COMPLY WITH THE PROVISIONS HEREIN, IN THE SECURITIES PURCHASE AGREEMENT AND THE REGISTRATION RIGHTS AGREEMENT, AND UPON FORECLOSURE OR TRANSFER OF THE SECURITIES, SUCH FORECLOSING PERSON OR TRANSFEREE SHALL COMPLY WITH ALL PROVISIONS CONTAINED HEREIN, IN THE SECURITIES PURCHASE AGREEMENT AND THE REGISTRATION RIGHTS AGREEMENT.</w:t>
      </w:r>
    </w:p>
    <w:p>
      <w:pPr>
        <w:spacing w:after="0" w:line="18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UNLESS PERMITTED UNDER SECURITIES LEGISLATION, THE SECURITIES REPRESENTED BY THIS CERTIFICATE AND THE SECURITIES UNDERLYING THESE SECURITIES MAY NOT BE SOLD, TRANSFERRED, HYPOTHECATED OR OTHERWISE TRADED UNTIL [INSERT THE DATE THAT IS FOUR MONTHS AND ONE DAY AFTER THE CLOSING DATE].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ZYMEWORKS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PRE-FUNDED WARRANT TO PURCHASE COMMON STOCK</w:t>
      </w:r>
    </w:p>
    <w:p>
      <w:pPr>
        <w:spacing w:after="0" w:line="256"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8"/>
          <w:szCs w:val="18"/>
          <w:color w:val="auto"/>
        </w:rPr>
        <w:t>Number of Shares: [•]</w:t>
      </w:r>
    </w:p>
    <w:p>
      <w:pPr>
        <w:spacing w:after="0" w:line="27"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18"/>
          <w:szCs w:val="18"/>
          <w:color w:val="auto"/>
        </w:rPr>
        <w:t>(subject to adjustment)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No.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Original Issue Date: [•]</w:t>
      </w:r>
    </w:p>
    <w:p>
      <w:pPr>
        <w:spacing w:after="0" w:line="21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Zymeworks Inc.,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hereby certifies that, for good and valuable consideration, the receipt and sufficiency of which are hereby acknowledged, [•] (the “</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is entitled, subject to the terms set forth below, to purchase from the Company up to a total of [•] shares of common stock, $0.00001 par value per share (the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of the Company (each such share, a “</w:t>
      </w:r>
      <w:r>
        <w:rPr>
          <w:rFonts w:ascii="Times New Roman" w:cs="Times New Roman" w:eastAsia="Times New Roman" w:hAnsi="Times New Roman"/>
          <w:sz w:val="18"/>
          <w:szCs w:val="18"/>
          <w:i w:val="1"/>
          <w:iCs w:val="1"/>
          <w:color w:val="auto"/>
        </w:rPr>
        <w:t>Warrant Share</w:t>
      </w:r>
      <w:r>
        <w:rPr>
          <w:rFonts w:ascii="Times New Roman" w:cs="Times New Roman" w:eastAsia="Times New Roman" w:hAnsi="Times New Roman"/>
          <w:sz w:val="18"/>
          <w:szCs w:val="18"/>
          <w:color w:val="auto"/>
        </w:rPr>
        <w:t>” and all such shares, the “</w:t>
      </w:r>
      <w:r>
        <w:rPr>
          <w:rFonts w:ascii="Times New Roman" w:cs="Times New Roman" w:eastAsia="Times New Roman" w:hAnsi="Times New Roman"/>
          <w:sz w:val="18"/>
          <w:szCs w:val="18"/>
          <w:i w:val="1"/>
          <w:iCs w:val="1"/>
          <w:color w:val="auto"/>
        </w:rPr>
        <w:t>Warrant Shares</w:t>
      </w:r>
      <w:r>
        <w:rPr>
          <w:rFonts w:ascii="Times New Roman" w:cs="Times New Roman" w:eastAsia="Times New Roman" w:hAnsi="Times New Roman"/>
          <w:sz w:val="18"/>
          <w:szCs w:val="18"/>
          <w:color w:val="auto"/>
        </w:rPr>
        <w:t xml:space="preserve">”) at an exercise price per share equal to $0.0001 per share (as adjusted from time to time as provided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herein, the “</w:t>
      </w:r>
      <w:r>
        <w:rPr>
          <w:rFonts w:ascii="Times New Roman" w:cs="Times New Roman" w:eastAsia="Times New Roman" w:hAnsi="Times New Roman"/>
          <w:sz w:val="18"/>
          <w:szCs w:val="18"/>
          <w:i w:val="1"/>
          <w:iCs w:val="1"/>
          <w:color w:val="auto"/>
        </w:rPr>
        <w:t>Exercise Price</w:t>
      </w:r>
      <w:r>
        <w:rPr>
          <w:rFonts w:ascii="Times New Roman" w:cs="Times New Roman" w:eastAsia="Times New Roman" w:hAnsi="Times New Roman"/>
          <w:sz w:val="18"/>
          <w:szCs w:val="18"/>
          <w:color w:val="auto"/>
        </w:rPr>
        <w:t xml:space="preserve">”), upon surrender of this </w:t>
      </w:r>
      <w:r>
        <w:rPr>
          <w:rFonts w:ascii="Times New Roman" w:cs="Times New Roman" w:eastAsia="Times New Roman" w:hAnsi="Times New Roman"/>
          <w:sz w:val="18"/>
          <w:szCs w:val="18"/>
          <w:i w:val="1"/>
          <w:iCs w:val="1"/>
          <w:color w:val="auto"/>
        </w:rPr>
        <w:t>Pre-Funded Warrant to Purchase Common Stock</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Warrant</w:t>
      </w:r>
      <w:r>
        <w:rPr>
          <w:rFonts w:ascii="Times New Roman" w:cs="Times New Roman" w:eastAsia="Times New Roman" w:hAnsi="Times New Roman"/>
          <w:sz w:val="18"/>
          <w:szCs w:val="18"/>
          <w:color w:val="auto"/>
        </w:rPr>
        <w:t>” (which, for the avoidance of doubt, shall include any New Warrant (as defined below))) at any time and from time to time on or after the date hereof (the “</w:t>
      </w:r>
      <w:r>
        <w:rPr>
          <w:rFonts w:ascii="Times New Roman" w:cs="Times New Roman" w:eastAsia="Times New Roman" w:hAnsi="Times New Roman"/>
          <w:sz w:val="18"/>
          <w:szCs w:val="18"/>
          <w:i w:val="1"/>
          <w:iCs w:val="1"/>
          <w:color w:val="auto"/>
        </w:rPr>
        <w:t>Original Issue Date</w:t>
      </w:r>
      <w:r>
        <w:rPr>
          <w:rFonts w:ascii="Times New Roman" w:cs="Times New Roman" w:eastAsia="Times New Roman" w:hAnsi="Times New Roman"/>
          <w:sz w:val="18"/>
          <w:szCs w:val="18"/>
          <w:color w:val="auto"/>
        </w:rPr>
        <w:t>”), subject to the following terms and conditions:</w:t>
      </w:r>
    </w:p>
    <w:p>
      <w:pPr>
        <w:spacing w:after="0" w:line="185"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This Warrant is issued pursuant to that certain Securities Purchase Agreement, dated December 23, 2023, by and among the Company and the Purchasers identified therein (the “</w:t>
      </w:r>
      <w:r>
        <w:rPr>
          <w:rFonts w:ascii="Times New Roman" w:cs="Times New Roman" w:eastAsia="Times New Roman" w:hAnsi="Times New Roman"/>
          <w:sz w:val="18"/>
          <w:szCs w:val="18"/>
          <w:i w:val="1"/>
          <w:iCs w:val="1"/>
          <w:color w:val="auto"/>
        </w:rPr>
        <w:t>Purchase Agreement</w:t>
      </w:r>
      <w:r>
        <w:rPr>
          <w:rFonts w:ascii="Times New Roman" w:cs="Times New Roman" w:eastAsia="Times New Roman" w:hAnsi="Times New Roman"/>
          <w:sz w:val="18"/>
          <w:szCs w:val="18"/>
          <w:color w:val="auto"/>
        </w:rPr>
        <w:t>”). All such Warrants are referred to herein, collectively, as the “Warrants.”</w:t>
      </w:r>
    </w:p>
    <w:p>
      <w:pPr>
        <w:sectPr>
          <w:pgSz w:w="11900" w:h="16838" w:orient="portrait"/>
          <w:cols w:equalWidth="0" w:num="1">
            <w:col w:w="11020"/>
          </w:cols>
          <w:pgMar w:left="440" w:top="117" w:right="439" w:bottom="1440" w:gutter="0" w:footer="0" w:header="0"/>
        </w:sectPr>
      </w:pPr>
    </w:p>
    <w:bookmarkStart w:id="84" w:name="page85"/>
    <w:bookmarkEnd w:id="84"/>
    <w:p>
      <w:pPr>
        <w:ind w:left="4" w:right="420" w:hanging="4"/>
        <w:spacing w:after="0" w:line="282" w:lineRule="auto"/>
        <w:tabs>
          <w:tab w:leader="none" w:pos="18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Definitions</w:t>
      </w:r>
      <w:r>
        <w:rPr>
          <w:rFonts w:ascii="Times New Roman" w:cs="Times New Roman" w:eastAsia="Times New Roman" w:hAnsi="Times New Roman"/>
          <w:sz w:val="18"/>
          <w:szCs w:val="18"/>
          <w:color w:val="auto"/>
        </w:rPr>
        <w:t>. In addition to the terms defined elsewhere in this Warrant, capitalized terms that are not otherwise defined herein have the meanings given to such terms in the Purchase Agreement. For purposes of this Warrant, the following terms shall have the following meanings:</w:t>
      </w:r>
    </w:p>
    <w:p>
      <w:pPr>
        <w:spacing w:after="0" w:line="51" w:lineRule="exact"/>
        <w:rPr>
          <w:rFonts w:ascii="Times New Roman" w:cs="Times New Roman" w:eastAsia="Times New Roman" w:hAnsi="Times New Roman"/>
          <w:sz w:val="18"/>
          <w:szCs w:val="18"/>
          <w:color w:val="auto"/>
        </w:rPr>
      </w:pPr>
    </w:p>
    <w:p>
      <w:pPr>
        <w:ind w:left="4" w:firstLine="436"/>
        <w:spacing w:after="0" w:line="254" w:lineRule="auto"/>
        <w:tabs>
          <w:tab w:leader="none" w:pos="61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Sale Price</w:t>
      </w:r>
      <w:r>
        <w:rPr>
          <w:rFonts w:ascii="Times New Roman" w:cs="Times New Roman" w:eastAsia="Times New Roman" w:hAnsi="Times New Roman"/>
          <w:sz w:val="18"/>
          <w:szCs w:val="18"/>
          <w:color w:val="auto"/>
        </w:rPr>
        <w:t>”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(such time, the “</w:t>
      </w:r>
      <w:r>
        <w:rPr>
          <w:rFonts w:ascii="Times New Roman" w:cs="Times New Roman" w:eastAsia="Times New Roman" w:hAnsi="Times New Roman"/>
          <w:sz w:val="18"/>
          <w:szCs w:val="18"/>
          <w:i w:val="1"/>
          <w:iCs w:val="1"/>
          <w:color w:val="auto"/>
        </w:rPr>
        <w:t>Close of Trading</w:t>
      </w:r>
      <w:r>
        <w:rPr>
          <w:rFonts w:ascii="Times New Roman" w:cs="Times New Roman" w:eastAsia="Times New Roman" w:hAnsi="Times New Roman"/>
          <w:sz w:val="18"/>
          <w:szCs w:val="18"/>
          <w:color w:val="auto"/>
        </w:rPr>
        <w:t>”). If the Closing Sale Price cannot be calculated for a security on a particular date on any of the foregoing bases, the Closing Sale Price of such security on such date shall be the fair market value as mutually determined in good faith by the Company and the Holder. If the Company and the Holder are unable to agree upon the fair market value of such security, then the Board of Directors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w:t>
      </w:r>
    </w:p>
    <w:p>
      <w:pPr>
        <w:spacing w:after="0" w:line="187" w:lineRule="exact"/>
        <w:rPr>
          <w:rFonts w:ascii="Times New Roman" w:cs="Times New Roman" w:eastAsia="Times New Roman" w:hAnsi="Times New Roman"/>
          <w:sz w:val="18"/>
          <w:szCs w:val="18"/>
          <w:color w:val="auto"/>
        </w:rPr>
      </w:pPr>
    </w:p>
    <w:p>
      <w:pPr>
        <w:ind w:left="4" w:right="20" w:hanging="4"/>
        <w:spacing w:after="0" w:line="258" w:lineRule="auto"/>
        <w:tabs>
          <w:tab w:leader="none" w:pos="18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ownership of this Warrant, upon records to be maintained by or on behalf of the Company for that purpose (the “</w:t>
      </w:r>
      <w:r>
        <w:rPr>
          <w:rFonts w:ascii="Times New Roman" w:cs="Times New Roman" w:eastAsia="Times New Roman" w:hAnsi="Times New Roman"/>
          <w:sz w:val="18"/>
          <w:szCs w:val="18"/>
          <w:i w:val="1"/>
          <w:iCs w:val="1"/>
          <w:color w:val="auto"/>
        </w:rPr>
        <w:t>Warrant Register</w:t>
      </w:r>
      <w:r>
        <w:rPr>
          <w:rFonts w:ascii="Times New Roman" w:cs="Times New Roman" w:eastAsia="Times New Roman" w:hAnsi="Times New Roman"/>
          <w:sz w:val="18"/>
          <w:szCs w:val="18"/>
          <w:color w:val="auto"/>
        </w:rPr>
        <w:t>”), in the name of the record Holder (which shall include the initial Holder or, as the case may be, any registered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3" w:lineRule="exact"/>
        <w:rPr>
          <w:rFonts w:ascii="Times New Roman" w:cs="Times New Roman" w:eastAsia="Times New Roman" w:hAnsi="Times New Roman"/>
          <w:sz w:val="18"/>
          <w:szCs w:val="18"/>
          <w:color w:val="auto"/>
        </w:rPr>
      </w:pPr>
    </w:p>
    <w:p>
      <w:pPr>
        <w:ind w:left="4" w:hanging="4"/>
        <w:spacing w:after="0" w:line="252" w:lineRule="auto"/>
        <w:tabs>
          <w:tab w:leader="none" w:pos="18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of Transfers</w:t>
      </w:r>
      <w:r>
        <w:rPr>
          <w:rFonts w:ascii="Times New Roman" w:cs="Times New Roman" w:eastAsia="Times New Roman" w:hAnsi="Times New Roman"/>
          <w:sz w:val="18"/>
          <w:szCs w:val="18"/>
          <w:color w:val="auto"/>
        </w:rPr>
        <w:t xml:space="preserve">. Subject to the restrictions on transfer set forth in Section 4.2 of the Purchase Agreement and compliance with all applicable securities laws, the Company shall, or will cause its warrant agent to, register the transfer of all or any portion of this Warrant in the Warrant Register, upon surrender of this Warrant, payment for all applicable transfer taxes (if any), and with the Form of Assignment attached as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hereto duly completed and signed, to the Company’s transfer agent or to the Company at its address specified in the Purchase Agreement and (x) delivery, at the request of the Company, of an opinion of counsel reasonably satisfactory to the Company to the effect that the transfer of such portion of this Warrant may be made pursuant to an available exemption from the registration requirements of the Securities Act and all applicable state securities or blue sky laws and (y) delivery by the transferee of a written statement to the Company certifying that the transferee is an “accredited investor” as defined in Rule 501(a) under the Securities Act and making the representations and certifications set forth in Section 3.2 of the Purchase Agreement, to the Company at its address specified in the Purchase Agreement. Upon any such registration or transfer, a new warrant to purchase Common Stock in substantially the form of this Warrant (any such new warrant, a “</w:t>
      </w:r>
      <w:r>
        <w:rPr>
          <w:rFonts w:ascii="Times New Roman" w:cs="Times New Roman" w:eastAsia="Times New Roman" w:hAnsi="Times New Roman"/>
          <w:sz w:val="18"/>
          <w:szCs w:val="18"/>
          <w:i w:val="1"/>
          <w:iCs w:val="1"/>
          <w:color w:val="auto"/>
        </w:rPr>
        <w:t>New Warrant</w:t>
      </w:r>
      <w:r>
        <w:rPr>
          <w:rFonts w:ascii="Times New Roman" w:cs="Times New Roman" w:eastAsia="Times New Roman" w:hAnsi="Times New Roman"/>
          <w:sz w:val="18"/>
          <w:szCs w:val="18"/>
          <w:color w:val="auto"/>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warrant agent to, prepare, issue and deliver at the Company’s own expense any New Warrant under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Until due presentment for registration of transfer, the Company may treat the registered Holder hereof as the owner and holder for all purposes, and the Company shall not be affected by any notice to the contrary.</w:t>
      </w:r>
    </w:p>
    <w:p>
      <w:pPr>
        <w:spacing w:after="0" w:line="195"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and Duration of Warrants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120" w:firstLine="436"/>
        <w:spacing w:after="0" w:line="282" w:lineRule="auto"/>
        <w:tabs>
          <w:tab w:leader="none" w:pos="61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any part of this Warrant shall be exercisable by the registered Holder in any manner permitted by this Warrant at any time and from time to time on or after the Original Issue Date.</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85" w:name="page86"/>
    <w:bookmarkEnd w:id="85"/>
    <w:p>
      <w:pPr>
        <w:ind w:left="4" w:right="160" w:firstLine="44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 The Holder may exercise this Warrant by delivering to the Company (i) an exercise notice, in the form attached as </w:t>
      </w:r>
      <w:r>
        <w:rPr>
          <w:rFonts w:ascii="Times New Roman" w:cs="Times New Roman" w:eastAsia="Times New Roman" w:hAnsi="Times New Roman"/>
          <w:sz w:val="17"/>
          <w:szCs w:val="17"/>
          <w:u w:val="single" w:color="auto"/>
          <w:color w:val="auto"/>
        </w:rPr>
        <w:t>Schedule 1</w:t>
      </w:r>
      <w:r>
        <w:rPr>
          <w:rFonts w:ascii="Times New Roman" w:cs="Times New Roman" w:eastAsia="Times New Roman" w:hAnsi="Times New Roman"/>
          <w:sz w:val="17"/>
          <w:szCs w:val="17"/>
          <w:color w:val="auto"/>
        </w:rPr>
        <w:t xml:space="preserve"> hereto (the “</w:t>
      </w:r>
      <w:r>
        <w:rPr>
          <w:rFonts w:ascii="Times New Roman" w:cs="Times New Roman" w:eastAsia="Times New Roman" w:hAnsi="Times New Roman"/>
          <w:sz w:val="17"/>
          <w:szCs w:val="17"/>
          <w:i w:val="1"/>
          <w:iCs w:val="1"/>
          <w:color w:val="auto"/>
        </w:rPr>
        <w:t>Exercise Notice</w:t>
      </w:r>
      <w:r>
        <w:rPr>
          <w:rFonts w:ascii="Times New Roman" w:cs="Times New Roman" w:eastAsia="Times New Roman" w:hAnsi="Times New Roman"/>
          <w:sz w:val="17"/>
          <w:szCs w:val="17"/>
          <w:color w:val="auto"/>
        </w:rPr>
        <w:t xml:space="preserve">”), completed and duly signed, and (ii) payment of the Exercise Price for the number of Warrant Shares as to which this Warrant is being exercised (which may take the form of a “cashless exercise” if so indicated in the Exercise Notice pursuant to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and the date on which the last of such items is delivered to the Company (as determined in accordance with the notice provisions hereof) is an “</w:t>
      </w:r>
      <w:r>
        <w:rPr>
          <w:rFonts w:ascii="Times New Roman" w:cs="Times New Roman" w:eastAsia="Times New Roman" w:hAnsi="Times New Roman"/>
          <w:sz w:val="17"/>
          <w:szCs w:val="17"/>
          <w:i w:val="1"/>
          <w:iCs w:val="1"/>
          <w:color w:val="auto"/>
        </w:rPr>
        <w:t>Exercise Date</w:t>
      </w:r>
      <w:r>
        <w:rPr>
          <w:rFonts w:ascii="Times New Roman" w:cs="Times New Roman" w:eastAsia="Times New Roman" w:hAnsi="Times New Roman"/>
          <w:sz w:val="17"/>
          <w:szCs w:val="17"/>
          <w:color w:val="auto"/>
        </w:rPr>
        <w:t>.” Within two</w:t>
      </w:r>
    </w:p>
    <w:p>
      <w:pPr>
        <w:spacing w:after="0" w:line="3" w:lineRule="exact"/>
        <w:rPr>
          <w:sz w:val="20"/>
          <w:szCs w:val="20"/>
          <w:color w:val="auto"/>
        </w:rPr>
      </w:pPr>
    </w:p>
    <w:p>
      <w:pPr>
        <w:ind w:left="4" w:right="20" w:hanging="4"/>
        <w:spacing w:after="0" w:line="251" w:lineRule="auto"/>
        <w:tabs>
          <w:tab w:leader="none" w:pos="25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following the delivery of the Exercise Notice (the “</w:t>
      </w:r>
      <w:r>
        <w:rPr>
          <w:rFonts w:ascii="Times New Roman" w:cs="Times New Roman" w:eastAsia="Times New Roman" w:hAnsi="Times New Roman"/>
          <w:sz w:val="18"/>
          <w:szCs w:val="18"/>
          <w:i w:val="1"/>
          <w:iCs w:val="1"/>
          <w:color w:val="auto"/>
        </w:rPr>
        <w:t>Payment Deadline</w:t>
      </w:r>
      <w:r>
        <w:rPr>
          <w:rFonts w:ascii="Times New Roman" w:cs="Times New Roman" w:eastAsia="Times New Roman" w:hAnsi="Times New Roman"/>
          <w:sz w:val="18"/>
          <w:szCs w:val="18"/>
          <w:color w:val="auto"/>
        </w:rPr>
        <w:t>”), the Holder shall make payment with respect to the Exercise Price for the number of Warrant Shares as to which this Warrant is being exercised; provided that the Company’s obligations to deliver such Warrant Shares shall be delayed on a day-for-day basis each day after the Payment Deadline such payment of the Exercise Price is not paid. The delivery by (or on behalf of) the Holder of the Exercise Notice and the applicable Exercise Price as provided above shall constitute the Holder’s certification to the Company that its representations contained in Sections 3.2(b), (c) and (d) of the Purchase Agreement are true and correct as of the Exercise Date as if remade in their entirety (or, in the case of any transferee Holder that is not a party to the Purchase Agreement, such transferee Holder’s certification to the Company that such representations are true and correct as to such transferee Holder as of the Exercise Date).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the final Exercise Notice is delivered to the Company. Execution and delivery of the Exercise Notice shall have the same effect as cancellation of the original Warrant and issuance of a New Warrant evidencing the right to purchase the remaining number of Warrant Shares, if any. The aggregate exercise price of this Warrant, except for the Exercise Price, was pre-funded to the Company on or before the Original Issue Date, and consequently no additional consideration (other than the Exercise Price) shall be required to be paid by the Holder to effect any exercise of this Warrant. The Holder shall not be entitled to the return or refund of all, or any portion, of such pre-funded exercise price under any circumstance or for any reason whatsoever.</w:t>
      </w:r>
    </w:p>
    <w:p>
      <w:pPr>
        <w:spacing w:after="0" w:line="191" w:lineRule="exact"/>
        <w:rPr>
          <w:sz w:val="20"/>
          <w:szCs w:val="20"/>
          <w:color w:val="auto"/>
        </w:rPr>
      </w:pPr>
    </w:p>
    <w:p>
      <w:pPr>
        <w:ind w:left="184" w:hanging="184"/>
        <w:spacing w:after="0"/>
        <w:tabs>
          <w:tab w:leader="none" w:pos="18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firstLine="436"/>
        <w:spacing w:after="0" w:line="252" w:lineRule="auto"/>
        <w:tabs>
          <w:tab w:leader="none" w:pos="61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upon exercise of this Warrant, the Company shall promptly (but no later than three (3) Trading Days after the Exercise Date (or four (4) Trading Days after the Exercise Date if the last of the Exercise Notice, the Exercise Price (if applicable) and opinion of counsel referred to below in this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(if applicable) is delivered after 5:00 P.M., New York City time, on the Exercise Date) or as soon as reasonably practicable in the event that a certificate is requested (such time, the “</w:t>
      </w:r>
      <w:r>
        <w:rPr>
          <w:rFonts w:ascii="Times New Roman" w:cs="Times New Roman" w:eastAsia="Times New Roman" w:hAnsi="Times New Roman"/>
          <w:sz w:val="18"/>
          <w:szCs w:val="18"/>
          <w:i w:val="1"/>
          <w:iCs w:val="1"/>
          <w:color w:val="auto"/>
        </w:rPr>
        <w:t>Delivery Deadline</w:t>
      </w:r>
      <w:r>
        <w:rPr>
          <w:rFonts w:ascii="Times New Roman" w:cs="Times New Roman" w:eastAsia="Times New Roman" w:hAnsi="Times New Roman"/>
          <w:sz w:val="18"/>
          <w:szCs w:val="18"/>
          <w:color w:val="auto"/>
        </w:rPr>
        <w:t>”)) issue or cause to be issued and cause to be delivered to or upon the written order of the Holder and in such name or names as the Holder may designate (provided that, if a registration statement is not effective and the Holder directs the Company to deliver a certificate for the Warrant Shares in a name other than that of the Holder or an Affiliate of the Holder, it shall deliver to the Company on the Exercise Date an opinion of counsel reasonably satisfactory to the Company to the effect that the issuance of such Warrant Shares in such other name may be made pursuant to an available exemption from the registration requirements of the Securities Act and all applicable state securities or blue sky laws), (i) an electronic delivery of the Warrant Shares to the Holder’s account at the Depository Trust Company (“</w:t>
      </w: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or a similar organization, or (ii) if requested by the Holder, a certificate for the Warrant Shares issuable upon such exercise, free of restrictive legends, unless in the case of clause (i) and (ii) a registration statement covering the resale of the Warrant Shares and naming the Holder as a selling stockholder thereunder is not then effective or the Warrant Shares are not freely transferable without volume and manner of sale restrictions pursuant to Rule 144 under the Securities Act, in which case such Holder shall receive a book-entry notation for the Warrant Shares issuable upon such exercise with appropriate restrictive legends. The Holder, or any Person permissibly so designated by the Holder to receive Warrant Shares, shall be deemed to have become the holder of record of such Warrant Shares as of the Exercise Date. If the Warrant Shares are to be issued free of all restrictive legends, the Company shall, upon the written request of the Holder, deliver, or cause to be delivered, Warrant Shares hereunder electronically through DTC or another established clearing corporation performing similar functions, if available; provided, that, the Company may, but will not be required to, change its transfer agent if its current transfer agent cannot deliver Warrant Shares electronically through such a clearing corporation.</w:t>
      </w:r>
    </w:p>
    <w:p>
      <w:pPr>
        <w:spacing w:after="0" w:line="191" w:lineRule="exact"/>
        <w:rPr>
          <w:rFonts w:ascii="Times New Roman" w:cs="Times New Roman" w:eastAsia="Times New Roman" w:hAnsi="Times New Roman"/>
          <w:sz w:val="18"/>
          <w:szCs w:val="18"/>
          <w:color w:val="auto"/>
        </w:rPr>
      </w:pPr>
    </w:p>
    <w:p>
      <w:pPr>
        <w:ind w:left="4" w:right="40" w:firstLine="436"/>
        <w:spacing w:after="0" w:line="230" w:lineRule="auto"/>
        <w:tabs>
          <w:tab w:leader="none" w:pos="62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the Close of Trading on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Trading Day after the Exercise Date, the Company fails to deliver to the Holder a certificate representing the required number of Warrant Shares in the manner required pursuant to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or fails to credit the Holder’s balance account with DTC for such number of Warrant Shares to which the Holder is entitled, and if after such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Trading Day and prior to the receipt of such Warrant Shares, the Holder purchases (in an open market transaction or otherwise)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i w:val="1"/>
          <w:iCs w:val="1"/>
          <w:color w:val="auto"/>
        </w:rPr>
        <w:t>Buy-In</w:t>
      </w:r>
      <w:r>
        <w:rPr>
          <w:rFonts w:ascii="Times New Roman" w:cs="Times New Roman" w:eastAsia="Times New Roman" w:hAnsi="Times New Roman"/>
          <w:sz w:val="18"/>
          <w:szCs w:val="18"/>
          <w:color w:val="auto"/>
        </w:rPr>
        <w:t>”), then the Company shall, within three (3) Trading Days after the Holder’s request promptly honor its obligation to deliver to the Holder a certificate or certificates representing such Warrant Shares and pay cash to the Holder in an amount equal to the excess (if any) of Holder’s total purchase price (including brokerage commissions, if any) for the shares of Common Stock so purchased in the Buy-In less the product of (A) the number of shares of Common Stock purchased in the Buy-In, times (B) the Closing Sale Price of a share of Common Stock on the Exercise Date.</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70" w:right="439" w:bottom="1440" w:gutter="0" w:footer="0" w:header="0"/>
        </w:sectPr>
      </w:pPr>
    </w:p>
    <w:bookmarkStart w:id="86" w:name="page87"/>
    <w:bookmarkEnd w:id="86"/>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 To the extent permitted by law and subject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the Company’s obligations to issue and deliver Warrant Shares in accordance with and subject to the terms hereof (including the limitations set forth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nothing herein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upon exercise of the Warrant as required pursuant to the terms hereof.</w:t>
      </w:r>
    </w:p>
    <w:p>
      <w:pPr>
        <w:spacing w:after="0" w:line="188" w:lineRule="exact"/>
        <w:rPr>
          <w:sz w:val="20"/>
          <w:szCs w:val="20"/>
          <w:color w:val="auto"/>
        </w:rPr>
      </w:pPr>
    </w:p>
    <w:p>
      <w:pPr>
        <w:ind w:left="4" w:hanging="4"/>
        <w:spacing w:after="0" w:line="256" w:lineRule="auto"/>
        <w:tabs>
          <w:tab w:leader="none" w:pos="18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and delivery of the Warrant Shares upon exercise of this Warrant shall be made without charge to the Holder for any issue or transfer tax, transfer agent fee or other incidental tax or expense (excluding any applicable stamp duties) in respect of the issuance of the Warrant Shares, all of which taxes and expenses shall be paid by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required to pay any tax that may be payable in respect of any transfer involved in the registration of Warrant Shares or the Warrants in a name other than that of the Holder or an Affiliate thereof. The Holder shall be responsible for all other tax liability that may arise as a result of holding or transferring this Warrant or receiving Warrant Shares upon exercise hereof.</w:t>
      </w:r>
    </w:p>
    <w:p>
      <w:pPr>
        <w:spacing w:after="0" w:line="187" w:lineRule="exact"/>
        <w:rPr>
          <w:rFonts w:ascii="Times New Roman" w:cs="Times New Roman" w:eastAsia="Times New Roman" w:hAnsi="Times New Roman"/>
          <w:sz w:val="18"/>
          <w:szCs w:val="18"/>
          <w:color w:val="auto"/>
        </w:rPr>
      </w:pPr>
    </w:p>
    <w:p>
      <w:pPr>
        <w:ind w:left="4" w:hanging="4"/>
        <w:spacing w:after="0" w:line="255" w:lineRule="auto"/>
        <w:tabs>
          <w:tab w:leader="none" w:pos="18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Warrant</w:t>
      </w:r>
      <w:r>
        <w:rPr>
          <w:rFonts w:ascii="Times New Roman" w:cs="Times New Roman" w:eastAsia="Times New Roman" w:hAnsi="Times New Roman"/>
          <w:sz w:val="18"/>
          <w:szCs w:val="18"/>
          <w:color w:val="auto"/>
        </w:rPr>
        <w:t>.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indemnity and surety bond, if requested by the Company. Applicants for a New Warrant under such circumstances shall also comply with such other reasonable regulations and procedures and pay such other reasonable third-party costs as the Company may prescribe. If a New Warrant is requested as a result of a mutilation of this Warrant, then the Holder shall deliver such mutilated Warrant to the Company as a condition precedent to the Company’s obligation to issue the New Warrant.</w:t>
      </w:r>
    </w:p>
    <w:p>
      <w:pPr>
        <w:spacing w:after="0" w:line="188" w:lineRule="exact"/>
        <w:rPr>
          <w:rFonts w:ascii="Times New Roman" w:cs="Times New Roman" w:eastAsia="Times New Roman" w:hAnsi="Times New Roman"/>
          <w:sz w:val="18"/>
          <w:szCs w:val="18"/>
          <w:color w:val="auto"/>
        </w:rPr>
      </w:pPr>
    </w:p>
    <w:p>
      <w:pPr>
        <w:ind w:left="4" w:right="100" w:hanging="4"/>
        <w:spacing w:after="0" w:line="254" w:lineRule="auto"/>
        <w:tabs>
          <w:tab w:leader="none" w:pos="18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Warrant Shares</w:t>
      </w:r>
      <w:r>
        <w:rPr>
          <w:rFonts w:ascii="Times New Roman" w:cs="Times New Roman" w:eastAsia="Times New Roman" w:hAnsi="Times New Roman"/>
          <w:sz w:val="18"/>
          <w:szCs w:val="18"/>
          <w:color w:val="auto"/>
        </w:rPr>
        <w:t xml:space="preserve">. The Company covenants that it will, at all times while this Warrant is outstanding, reserve and keep available out of the aggregate of its authorized but unissued and otherwise unreserved shares of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shares of Common Stock may be listed.</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4"/>
          </w:cols>
          <w:pgMar w:left="436" w:top="270" w:right="479" w:bottom="1440" w:gutter="0" w:footer="0" w:header="0"/>
        </w:sectPr>
      </w:pPr>
    </w:p>
    <w:bookmarkStart w:id="87" w:name="page88"/>
    <w:bookmarkEnd w:id="87"/>
    <w:p>
      <w:pPr>
        <w:ind w:left="4" w:right="80" w:hanging="4"/>
        <w:spacing w:after="0" w:line="282" w:lineRule="auto"/>
        <w:tabs>
          <w:tab w:leader="none" w:pos="18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Adjustments</w:t>
      </w:r>
      <w:r>
        <w:rPr>
          <w:rFonts w:ascii="Times New Roman" w:cs="Times New Roman" w:eastAsia="Times New Roman" w:hAnsi="Times New Roman"/>
          <w:sz w:val="18"/>
          <w:szCs w:val="18"/>
          <w:color w:val="auto"/>
        </w:rPr>
        <w:t xml:space="preserve">. The Exercise Price and number of Warrant Shares issuable upon exercise of this Warrant are subject to adjustment from time to time as set forth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4" w:firstLine="436"/>
        <w:spacing w:after="0" w:line="253" w:lineRule="auto"/>
        <w:tabs>
          <w:tab w:leader="none" w:pos="614"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on its Common Stock or otherwise makes a distribution on any class of capital stock issued and outstanding on the Original Issue Date and in accordance with the terms of such capital on the Original Issue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Common Stock any additional Common Stock of the Company, then in each such case, the Exercise Price shall be multiplied by a fraction, the numerator of which shall be the number of shares of Common Shares outstanding immediately before such event and the denominator of which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Exercise Price shall be recomputed accordingly as of the close of business on such record date and thereafter the Exercise Price shall be adjusted pursuant to this paragraph as of the time of actual payment of such dividends. Any adjustment pursuant to clause (ii) or (iii) of this paragraph shall become effective immediately after the effective date of such subdivision or combination.</w:t>
      </w:r>
    </w:p>
    <w:p>
      <w:pPr>
        <w:spacing w:after="0" w:line="189" w:lineRule="exact"/>
        <w:rPr>
          <w:rFonts w:ascii="Times New Roman" w:cs="Times New Roman" w:eastAsia="Times New Roman" w:hAnsi="Times New Roman"/>
          <w:sz w:val="18"/>
          <w:szCs w:val="18"/>
          <w:color w:val="auto"/>
        </w:rPr>
      </w:pPr>
    </w:p>
    <w:p>
      <w:pPr>
        <w:ind w:left="4" w:firstLine="436"/>
        <w:spacing w:after="0" w:line="253" w:lineRule="auto"/>
        <w:tabs>
          <w:tab w:leader="none" w:pos="624"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If the Company, at any time while this Warrant is outstanding, distributes to all holders of Common Stock for no consideration (i) evidences of its indebtedness, (ii) any security (other than a distribution of Common Stock covered by the preceding paragraph), (iii) rights or warrants to subscribe for or purchase any security, or (iv) cash or any other asset (in each case, “</w:t>
      </w:r>
      <w:r>
        <w:rPr>
          <w:rFonts w:ascii="Times New Roman" w:cs="Times New Roman" w:eastAsia="Times New Roman" w:hAnsi="Times New Roman"/>
          <w:sz w:val="18"/>
          <w:szCs w:val="18"/>
          <w:i w:val="1"/>
          <w:iCs w:val="1"/>
          <w:color w:val="auto"/>
        </w:rPr>
        <w:t>Distributed Property</w:t>
      </w:r>
      <w:r>
        <w:rPr>
          <w:rFonts w:ascii="Times New Roman" w:cs="Times New Roman" w:eastAsia="Times New Roman" w:hAnsi="Times New Roman"/>
          <w:sz w:val="18"/>
          <w:szCs w:val="18"/>
          <w:color w:val="auto"/>
        </w:rPr>
        <w:t xml:space="preserve">”), then, upon any exercise of this Warrant that occurs after the record date fixed for determination of stockholders entitled to receive such distribution, the Holder shall be entitled to receive, in addition to the Warrant Shares otherwise issuable upon such exercise (if applicable), the Distributed Property that such Holder would have been entitled to receive in respect of such number of Warrant Shares had the Holder been the record holder of such Warrant Shares immediately prior to such record date without regard to any limitation on exercise contained therein. The Company covenants that it will, at all times while this Warrant is outstanding, reserve and keep available all Distributed Property that the Holder shall be entitled to receive hereunder, solely for the purpose of fulfilling its obligations pursuant to this </w:t>
      </w:r>
      <w:r>
        <w:rPr>
          <w:rFonts w:ascii="Times New Roman" w:cs="Times New Roman" w:eastAsia="Times New Roman" w:hAnsi="Times New Roman"/>
          <w:sz w:val="18"/>
          <w:szCs w:val="18"/>
          <w:u w:val="single" w:color="auto"/>
          <w:color w:val="auto"/>
        </w:rPr>
        <w:t>Section 9(b)</w:t>
      </w:r>
      <w:r>
        <w:rPr>
          <w:rFonts w:ascii="Times New Roman" w:cs="Times New Roman" w:eastAsia="Times New Roman" w:hAnsi="Times New Roman"/>
          <w:sz w:val="18"/>
          <w:szCs w:val="18"/>
          <w:color w:val="auto"/>
        </w:rPr>
        <w:t xml:space="preserve">. Notwithstanding anything herein to the contrary, the foregoing provisions in this </w:t>
      </w:r>
      <w:r>
        <w:rPr>
          <w:rFonts w:ascii="Times New Roman" w:cs="Times New Roman" w:eastAsia="Times New Roman" w:hAnsi="Times New Roman"/>
          <w:sz w:val="18"/>
          <w:szCs w:val="18"/>
          <w:u w:val="single" w:color="auto"/>
          <w:color w:val="auto"/>
        </w:rPr>
        <w:t>Section 9(b)</w:t>
      </w:r>
      <w:r>
        <w:rPr>
          <w:rFonts w:ascii="Times New Roman" w:cs="Times New Roman" w:eastAsia="Times New Roman" w:hAnsi="Times New Roman"/>
          <w:sz w:val="18"/>
          <w:szCs w:val="18"/>
          <w:color w:val="auto"/>
        </w:rPr>
        <w:t xml:space="preserve"> shall not apply to, or be triggered by, any rights issued by the Company (either separately or that attach to any securities of the Company) in connection with any stockholders rights agreement, poison pill or other similar anti-takeover provision under the Company’s certificate of incorporation, bylaws or other documents.</w:t>
      </w:r>
    </w:p>
    <w:p>
      <w:pPr>
        <w:spacing w:after="0" w:line="189" w:lineRule="exact"/>
        <w:rPr>
          <w:rFonts w:ascii="Times New Roman" w:cs="Times New Roman" w:eastAsia="Times New Roman" w:hAnsi="Times New Roman"/>
          <w:sz w:val="18"/>
          <w:szCs w:val="18"/>
          <w:color w:val="auto"/>
        </w:rPr>
      </w:pPr>
    </w:p>
    <w:p>
      <w:pPr>
        <w:ind w:left="4" w:right="20" w:firstLine="436"/>
        <w:spacing w:after="0" w:line="267" w:lineRule="auto"/>
        <w:tabs>
          <w:tab w:leader="none" w:pos="614"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Fundamental Transactions</w:t>
      </w:r>
      <w:r>
        <w:rPr>
          <w:rFonts w:ascii="Times New Roman" w:cs="Times New Roman" w:eastAsia="Times New Roman" w:hAnsi="Times New Roman"/>
          <w:sz w:val="17"/>
          <w:szCs w:val="17"/>
          <w:color w:val="auto"/>
        </w:rPr>
        <w:t xml:space="preserve">. If, at any time while this Warrant is outstanding (i) the Company effects any merger or consolidation of the Company with or into another Person, in which the Company is not the surviving entity and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transaction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share purchase agreement or other business combination (including, without limitation, a reorganization, recapitalization, spin-off or scheme of arrangement) with another Person whereby such other Person acquires more than the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shares of Common Stock are effectively converted into or exchanged for other securities, cash or property (other than as a result of a subdivision or combination of shares of Common Stock covered by </w:t>
      </w:r>
      <w:r>
        <w:rPr>
          <w:rFonts w:ascii="Times New Roman" w:cs="Times New Roman" w:eastAsia="Times New Roman" w:hAnsi="Times New Roman"/>
          <w:sz w:val="17"/>
          <w:szCs w:val="17"/>
          <w:u w:val="single" w:color="auto"/>
          <w:color w:val="auto"/>
        </w:rPr>
        <w:t>Section 9(a)</w:t>
      </w:r>
      <w:r>
        <w:rPr>
          <w:rFonts w:ascii="Times New Roman" w:cs="Times New Roman" w:eastAsia="Times New Roman" w:hAnsi="Times New Roman"/>
          <w:sz w:val="17"/>
          <w:szCs w:val="17"/>
          <w:color w:val="auto"/>
        </w:rPr>
        <w:t xml:space="preserve"> above) (in any such case, a “</w:t>
      </w:r>
      <w:r>
        <w:rPr>
          <w:rFonts w:ascii="Times New Roman" w:cs="Times New Roman" w:eastAsia="Times New Roman" w:hAnsi="Times New Roman"/>
          <w:sz w:val="17"/>
          <w:szCs w:val="17"/>
          <w:i w:val="1"/>
          <w:iCs w:val="1"/>
          <w:color w:val="auto"/>
        </w:rPr>
        <w:t>Fundamental Transaction</w:t>
      </w:r>
      <w:r>
        <w:rPr>
          <w:rFonts w:ascii="Times New Roman" w:cs="Times New Roman" w:eastAsia="Times New Roman" w:hAnsi="Times New Roman"/>
          <w:sz w:val="17"/>
          <w:szCs w:val="17"/>
          <w:color w:val="auto"/>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without regard to any limitations on exercise contained herein (the “</w:t>
      </w:r>
      <w:r>
        <w:rPr>
          <w:rFonts w:ascii="Times New Roman" w:cs="Times New Roman" w:eastAsia="Times New Roman" w:hAnsi="Times New Roman"/>
          <w:sz w:val="17"/>
          <w:szCs w:val="17"/>
          <w:i w:val="1"/>
          <w:iCs w:val="1"/>
          <w:color w:val="auto"/>
        </w:rPr>
        <w:t>Alternate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Consideration</w:t>
      </w:r>
      <w:r>
        <w:rPr>
          <w:rFonts w:ascii="Times New Roman" w:cs="Times New Roman" w:eastAsia="Times New Roman" w:hAnsi="Times New Roman"/>
          <w:sz w:val="17"/>
          <w:szCs w:val="17"/>
          <w:color w:val="auto"/>
        </w:rPr>
        <w:t>”). The Company shall not effect any Fundamental Transaction in which the Company is not the surviving entity or the Alternate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Consideration includes securities of another Person unless (i) the Alternate Consideration is solely cash and the Company provides for the simultaneous “cashless exercise” of this Warrant pursuant to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below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(c) shall similarly apply to subsequent transactions analogous of a Fundamental Transaction type.</w:t>
      </w:r>
    </w:p>
    <w:p>
      <w:pPr>
        <w:spacing w:after="0" w:line="33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88" w:name="page89"/>
    <w:bookmarkEnd w:id="88"/>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 </w:t>
      </w:r>
      <w:r>
        <w:rPr>
          <w:rFonts w:ascii="Times New Roman" w:cs="Times New Roman" w:eastAsia="Times New Roman" w:hAnsi="Times New Roman"/>
          <w:sz w:val="18"/>
          <w:szCs w:val="18"/>
          <w:u w:val="single" w:color="auto"/>
          <w:color w:val="auto"/>
        </w:rPr>
        <w:t>Number of Warrant Shares</w:t>
      </w:r>
      <w:r>
        <w:rPr>
          <w:rFonts w:ascii="Times New Roman" w:cs="Times New Roman" w:eastAsia="Times New Roman" w:hAnsi="Times New Roman"/>
          <w:sz w:val="18"/>
          <w:szCs w:val="18"/>
          <w:color w:val="auto"/>
        </w:rPr>
        <w:t xml:space="preserve">. Simultaneously with any adjustment to the Exercise Price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number of Warrant Shares that may be purchased upon exercise of this Warrant shall be increased or decreased proportionately, so that after such adjustment the aggregate Exercise Price payable hereunder for the increased or decreased number of Warrant Shares shall be the same as the aggregate Exercise Price in effect immediately prior to such adjustment.</w:t>
      </w:r>
    </w:p>
    <w:p>
      <w:pPr>
        <w:spacing w:after="0" w:line="180" w:lineRule="exact"/>
        <w:rPr>
          <w:sz w:val="20"/>
          <w:szCs w:val="20"/>
          <w:color w:val="auto"/>
        </w:rPr>
      </w:pPr>
    </w:p>
    <w:p>
      <w:pPr>
        <w:ind w:left="4" w:right="6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xml:space="preserve">. All calculations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be made to the nearest one-hundredth of one cent or the nearest whole share, as applicable.</w:t>
      </w:r>
    </w:p>
    <w:p>
      <w:pPr>
        <w:spacing w:after="0" w:line="162" w:lineRule="exact"/>
        <w:rPr>
          <w:sz w:val="20"/>
          <w:szCs w:val="20"/>
          <w:color w:val="auto"/>
        </w:rPr>
      </w:pPr>
    </w:p>
    <w:p>
      <w:pPr>
        <w:ind w:left="4" w:firstLine="440"/>
        <w:spacing w:after="0" w:line="277" w:lineRule="auto"/>
        <w:rPr>
          <w:sz w:val="20"/>
          <w:szCs w:val="20"/>
          <w:color w:val="auto"/>
        </w:rPr>
      </w:pPr>
      <w:r>
        <w:rPr>
          <w:rFonts w:ascii="Times New Roman" w:cs="Times New Roman" w:eastAsia="Times New Roman" w:hAnsi="Times New Roman"/>
          <w:sz w:val="17"/>
          <w:szCs w:val="17"/>
          <w:color w:val="auto"/>
        </w:rPr>
        <w:t xml:space="preserve">f. </w:t>
      </w:r>
      <w:r>
        <w:rPr>
          <w:rFonts w:ascii="Times New Roman" w:cs="Times New Roman" w:eastAsia="Times New Roman" w:hAnsi="Times New Roman"/>
          <w:sz w:val="17"/>
          <w:szCs w:val="17"/>
          <w:u w:val="single" w:color="auto"/>
          <w:color w:val="auto"/>
        </w:rPr>
        <w:t>Notice of Adjustments</w:t>
      </w:r>
      <w:r>
        <w:rPr>
          <w:rFonts w:ascii="Times New Roman" w:cs="Times New Roman" w:eastAsia="Times New Roman" w:hAnsi="Times New Roman"/>
          <w:sz w:val="17"/>
          <w:szCs w:val="17"/>
          <w:color w:val="auto"/>
        </w:rPr>
        <w:t xml:space="preserve">. Upon the occurrence of each adjustment pursuant to this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warrant agent.</w:t>
      </w:r>
    </w:p>
    <w:p>
      <w:pPr>
        <w:spacing w:after="0" w:line="168"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Notice of Corporate Events</w:t>
      </w:r>
      <w:r>
        <w:rPr>
          <w:rFonts w:ascii="Times New Roman" w:cs="Times New Roman" w:eastAsia="Times New Roman" w:hAnsi="Times New Roman"/>
          <w:sz w:val="18"/>
          <w:szCs w:val="18"/>
          <w:color w:val="auto"/>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the Company shall deliver to the Holder a notice of such transaction at least ten (10) days prior to the applicable record and effective date on which a Person would need to hold Common Stock in order to participate in or vote with respect to such transaction;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failure to deliver such notice or any defect therein shall not affect the validity of the corporate action required to be described in such notice (but the Company shall remain liable to the Holder for any damages resulting therefrom). In addition, if while this Warrant is outstanding, the Company authorizes or approves, enters into any agreement contemplating or solicits stockholder approval for any Fundamental Transaction contemplated by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other than a Fundamental Transaction under clause (iii) of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the Company shall deliver to the Holder a notice of such Fundamental Transaction at least thirty (30) days prior to the date such Fundamental Transaction is consummated. Holder agrees to maintain any information disclosed pursuant to this </w:t>
      </w:r>
      <w:r>
        <w:rPr>
          <w:rFonts w:ascii="Times New Roman" w:cs="Times New Roman" w:eastAsia="Times New Roman" w:hAnsi="Times New Roman"/>
          <w:sz w:val="18"/>
          <w:szCs w:val="18"/>
          <w:u w:val="single" w:color="auto"/>
          <w:color w:val="auto"/>
        </w:rPr>
        <w:t>Section 9(g)</w:t>
      </w:r>
      <w:r>
        <w:rPr>
          <w:rFonts w:ascii="Times New Roman" w:cs="Times New Roman" w:eastAsia="Times New Roman" w:hAnsi="Times New Roman"/>
          <w:sz w:val="18"/>
          <w:szCs w:val="18"/>
          <w:color w:val="auto"/>
        </w:rPr>
        <w:t xml:space="preserve"> in confidence until such information is publicly available, and shall comply with applicable law with respect to trading in the Company’s securities following receipt any such information.</w:t>
      </w:r>
    </w:p>
    <w:p>
      <w:pPr>
        <w:spacing w:after="0" w:line="187" w:lineRule="exact"/>
        <w:rPr>
          <w:sz w:val="20"/>
          <w:szCs w:val="20"/>
          <w:color w:val="auto"/>
        </w:rPr>
      </w:pPr>
    </w:p>
    <w:p>
      <w:pPr>
        <w:jc w:val="both"/>
        <w:ind w:left="4" w:right="20" w:hanging="4"/>
        <w:spacing w:after="0" w:line="258" w:lineRule="auto"/>
        <w:tabs>
          <w:tab w:leader="none" w:pos="27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Exercise Price</w:t>
      </w:r>
      <w:r>
        <w:rPr>
          <w:rFonts w:ascii="Times New Roman" w:cs="Times New Roman" w:eastAsia="Times New Roman" w:hAnsi="Times New Roman"/>
          <w:sz w:val="18"/>
          <w:szCs w:val="18"/>
          <w:color w:val="auto"/>
        </w:rPr>
        <w:t>. The Holder shall pay the Exercise Price in immediately available funds by wire transfer to an account designated by the Company; provided, however, that if, on any Exercise Date either (i) there is not an effective registration statement registering, or no current prospectus available for, the resale of the Warrant Shares by the Holder or (ii) upon the Holder’s election (in the Holder’s sole discretion), then the obligation to pay the Exercise Price will be satisfied through a “cashless exercise”, in which event the Company shall issue to the Holder the number of Warrant Shares in an exchange of securities effected pursuant to Section 3(a)(9) of the Securities Act, as determined as follows:</w:t>
      </w:r>
    </w:p>
    <w:p>
      <w:pPr>
        <w:spacing w:after="0" w:line="18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X = Y [(A-B)/A]</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where: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“X” equals the number of Warrant Shares to be issued to the Holder;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“Y” equals the total number of Warrant Shares with respect to which this Warrant is then being exercised;</w:t>
      </w:r>
    </w:p>
    <w:p>
      <w:pPr>
        <w:spacing w:after="0" w:line="225" w:lineRule="exact"/>
        <w:rPr>
          <w:sz w:val="20"/>
          <w:szCs w:val="20"/>
          <w:color w:val="auto"/>
        </w:rPr>
      </w:pPr>
    </w:p>
    <w:p>
      <w:pPr>
        <w:ind w:left="4" w:right="420"/>
        <w:spacing w:after="0" w:line="282" w:lineRule="auto"/>
        <w:rPr>
          <w:sz w:val="20"/>
          <w:szCs w:val="20"/>
          <w:color w:val="auto"/>
        </w:rPr>
      </w:pPr>
      <w:r>
        <w:rPr>
          <w:rFonts w:ascii="Times New Roman" w:cs="Times New Roman" w:eastAsia="Times New Roman" w:hAnsi="Times New Roman"/>
          <w:sz w:val="18"/>
          <w:szCs w:val="18"/>
          <w:color w:val="auto"/>
        </w:rPr>
        <w:t>“A” equals the Closing Sale Price of the shares of Common Stock (as reported by Bloomberg Financial Markets) as of the Trading Day on the date immediately preceding the Exercise Date (the “</w:t>
      </w:r>
      <w:r>
        <w:rPr>
          <w:rFonts w:ascii="Times New Roman" w:cs="Times New Roman" w:eastAsia="Times New Roman" w:hAnsi="Times New Roman"/>
          <w:sz w:val="18"/>
          <w:szCs w:val="18"/>
          <w:i w:val="1"/>
          <w:iCs w:val="1"/>
          <w:color w:val="auto"/>
        </w:rPr>
        <w:t>Fair Market Value</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 equals the Exercise Price then in effect for the applicable Warrant Shares at the time of such exercise.</w:t>
      </w:r>
    </w:p>
    <w:p>
      <w:pPr>
        <w:spacing w:after="0" w:line="158"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89" w:name="page90"/>
    <w:bookmarkEnd w:id="89"/>
    <w:p>
      <w:pPr>
        <w:ind w:left="4"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date this Warrant was originally issued pursuant to the Purchase Agreement (provided that the Commission continues to take the position that such treatment is proper at the time of such exercise). In the event that a registration statement registering the issuance of Warrant Shares is, for any reason, not effective at the time of exercise of this Warrant, then the Warrant may only be exercised through a cashless exercise, as set forth in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(Buy-In remedy) and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(payment of cash in lieu of fractional shares), in no event will the exercise of this Warrant be settled in cash.</w:t>
      </w:r>
    </w:p>
    <w:p>
      <w:pPr>
        <w:spacing w:after="0" w:line="189" w:lineRule="exact"/>
        <w:rPr>
          <w:sz w:val="20"/>
          <w:szCs w:val="20"/>
          <w:color w:val="auto"/>
        </w:rPr>
      </w:pPr>
    </w:p>
    <w:p>
      <w:pPr>
        <w:ind w:left="4" w:right="80" w:hanging="4"/>
        <w:spacing w:after="0" w:line="268" w:lineRule="auto"/>
        <w:tabs>
          <w:tab w:leader="none" w:pos="267"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Company-Elected Conversion</w:t>
      </w:r>
      <w:r>
        <w:rPr>
          <w:rFonts w:ascii="Times New Roman" w:cs="Times New Roman" w:eastAsia="Times New Roman" w:hAnsi="Times New Roman"/>
          <w:sz w:val="17"/>
          <w:szCs w:val="17"/>
          <w:color w:val="auto"/>
        </w:rPr>
        <w:t>. The Company shall provide to the Holder prompt written notice if after the Original Issue Date the Company is unable to issue the Warrant Shares without restrictive legend, because the Commission has issued a stop order with respect to, or the Commission or Company has otherwise suspended or withdrawn, a registration statement covering the resale of the Warrant Shares, either temporarily or permanently, or otherwise (each a “Restrictive Legend Event”). To the extent that (A) a Restrictive Legend Event occurs, (B) at such time the Warrant Shares would be saleable under Rule 144 without compliance with the manner of sale or volume restrictions, (C) the Company has delivered the notice described in the immediately preceding sentence, and (D) the Holder attempts to exercise the Warrant after receipt of such notice by paying cash, the Company shall</w:t>
      </w:r>
    </w:p>
    <w:p>
      <w:pPr>
        <w:spacing w:after="0" w:line="4" w:lineRule="exact"/>
        <w:rPr>
          <w:rFonts w:ascii="Times New Roman" w:cs="Times New Roman" w:eastAsia="Times New Roman" w:hAnsi="Times New Roman"/>
          <w:sz w:val="17"/>
          <w:szCs w:val="17"/>
          <w:color w:val="auto"/>
        </w:rPr>
      </w:pPr>
    </w:p>
    <w:p>
      <w:pPr>
        <w:ind w:left="4" w:right="24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(i) if the Fair Market Value (as calculated above) of the Warrant Shares is greater than the Exercise Price, provide written notice to the Holder that the Company will deliver that number of Warrant Shares to the Holder as should be delivered in a cashless exercise in accordance with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and return to the Holder all consideration paid to the Company in connection with the Holder’s attempted exercise of this Warrant (a “Company-Elected Conversion”), or (ii) at the election of the Holder to be given within five (5) days of receipt of notice of a Company-Elected Conversion, the Holder shall be entitled to rescind the previously submitted Exercise Notice and the Company shall return all consideration paid by Holder for such Warrant Shares upon such rescission.</w:t>
      </w:r>
    </w:p>
    <w:p>
      <w:pPr>
        <w:spacing w:after="0" w:line="189"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firstLine="44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 Notwithstanding anything to the contrary contained herein, the Company shall not effect any exercise of this Warrant, and the Holder shall not be entitled to exercise this Warrant for a number of Warrant Shares in excess of that number of Warrant Shares which, upon giving effect or immediately prior to such exercise, would cause (i) the aggregate number of shares of Common Stock beneficially owned by the Holder and its Affiliates and any other Persons whose beneficial ownership of shares of Common Stock would be aggregated with the Holder’s for purposes of Section 13(d) of the Exchange Act, to exceed 19.99% (the “</w:t>
      </w:r>
      <w:r>
        <w:rPr>
          <w:rFonts w:ascii="Times New Roman" w:cs="Times New Roman" w:eastAsia="Times New Roman" w:hAnsi="Times New Roman"/>
          <w:sz w:val="17"/>
          <w:szCs w:val="17"/>
          <w:i w:val="1"/>
          <w:iCs w:val="1"/>
          <w:color w:val="auto"/>
        </w:rPr>
        <w:t>Maximum Percentage”</w:t>
      </w:r>
      <w:r>
        <w:rPr>
          <w:rFonts w:ascii="Times New Roman" w:cs="Times New Roman" w:eastAsia="Times New Roman" w:hAnsi="Times New Roman"/>
          <w:sz w:val="17"/>
          <w:szCs w:val="17"/>
          <w:color w:val="auto"/>
        </w:rPr>
        <w:t>) of the total number of issued and outstanding shares of Common Stock of the Company following such exercise, or (ii) the combined voting power of the securities of the Company beneficially owned by the Holder and its Affiliates and any other Persons whose beneficial ownership of shares of Common Stock would be aggregated with the Holder’s for purposes of Section 13(d) of the Exchange Act to exceed 19.99% of the combined voting power of all of the securities of the Company then outstanding following such exercise. For purposes of this Warrant, in determining the number of outstanding shares of Common Stock, the Holder may rely on the number of outstanding shares of Common Stock as reflected in (x) the Company’s most recent Form 10-Q or Form 10-K, as the case may be, filed with the Commission prior to the date hereof, (y) a more recent public announcement by the Company or (z) any other notice by the Company or the Transfer Agent setting forth the number of shares of Common Stock outstanding. Upon the written request of the Holder, the Company shall within three (3) Trading Days confirm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since the date as of which such number of outstanding shares of Common Stock was reported. By written notice to the Company, the Holder may from time to time increase or decrease the Maximum Percentage to any other percentage not in excess of 19.99% specified in such notice; provided that any such increase will not be effective until the sixty-first (61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7"/>
          <w:szCs w:val="17"/>
          <w:color w:val="auto"/>
        </w:rPr>
        <w:t xml:space="preserve">) day after such notice is delivered to the Company. For purposes of this </w:t>
      </w:r>
      <w:r>
        <w:rPr>
          <w:rFonts w:ascii="Times New Roman" w:cs="Times New Roman" w:eastAsia="Times New Roman" w:hAnsi="Times New Roman"/>
          <w:sz w:val="17"/>
          <w:szCs w:val="17"/>
          <w:u w:val="single" w:color="auto"/>
          <w:color w:val="auto"/>
        </w:rPr>
        <w:t>Section 12(a)</w:t>
      </w:r>
      <w:r>
        <w:rPr>
          <w:rFonts w:ascii="Times New Roman" w:cs="Times New Roman" w:eastAsia="Times New Roman" w:hAnsi="Times New Roman"/>
          <w:sz w:val="17"/>
          <w:szCs w:val="17"/>
          <w:color w:val="auto"/>
        </w:rPr>
        <w:t>, the aggregate number of shares of Common Stock or voting securities beneficially owned by the Holder and its Affiliates and any other Persons whose beneficial ownership of Common Shares would be aggregated with the Holder’s for purposes of Section 13(d) of the Exchange Act shall include the shares of Common Stock issuable upon the exercise of this Warrant with respect to which such determination is being made, but shall exclude the number of shares of Common Stock which would be issuable upon (x) exercise of the remaining unexercised and non-cancelled portion of this Warrant by the Holder and (y) exercise or conversion of the unexercised, non-converted or non-cancelled portion of any other securities of the Company that do not have voting power (including without limitation any securities of the Company which would entitle the holder thereof to acquire at any time shares of Common Stock, including without limitation any debt, preferred stock, right, option, warrant or other instrument that is at any time convertible into or exercisable or exchangeable for, or otherwise entitles the holder thereof to receive, shares of Common Stock), is subject to a limitation on conversion or exercise analogous to the limitation contained herein and is beneficially owned by the Holder or any of its Affiliates and other Persons whose beneficial ownership of shares of Common Stock would be aggregated with the Holder’s for purposes of Section 13(d) of the Exchange Act.</w:t>
      </w:r>
    </w:p>
    <w:p>
      <w:pPr>
        <w:spacing w:after="0" w:line="3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90" w:name="page91"/>
    <w:bookmarkEnd w:id="90"/>
    <w:p>
      <w:pPr>
        <w:jc w:val="both"/>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shall not restrict the number of shares of Common Stock which a Holder may receive or beneficially own in order to determine the amount of securities or other consideration that such Holder may receive in the event of a Fundamental Transaction as contemplated in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of this Warrant.</w:t>
      </w:r>
    </w:p>
    <w:p>
      <w:pPr>
        <w:spacing w:after="0" w:line="176" w:lineRule="exact"/>
        <w:rPr>
          <w:sz w:val="20"/>
          <w:szCs w:val="20"/>
          <w:color w:val="auto"/>
        </w:rPr>
      </w:pPr>
    </w:p>
    <w:p>
      <w:pPr>
        <w:jc w:val="both"/>
        <w:ind w:left="4" w:right="220" w:hanging="4"/>
        <w:spacing w:after="0" w:line="266" w:lineRule="auto"/>
        <w:tabs>
          <w:tab w:leader="none" w:pos="27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w:t>
      </w:r>
    </w:p>
    <w:p>
      <w:pPr>
        <w:spacing w:after="0" w:line="175" w:lineRule="exact"/>
        <w:rPr>
          <w:rFonts w:ascii="Times New Roman" w:cs="Times New Roman" w:eastAsia="Times New Roman" w:hAnsi="Times New Roman"/>
          <w:sz w:val="18"/>
          <w:szCs w:val="18"/>
          <w:color w:val="auto"/>
        </w:rPr>
      </w:pPr>
    </w:p>
    <w:p>
      <w:pPr>
        <w:ind w:left="4" w:hanging="4"/>
        <w:spacing w:after="0" w:line="268" w:lineRule="auto"/>
        <w:tabs>
          <w:tab w:leader="none" w:pos="274"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and all notices or other communications or deliveries hereunder (including, without limitation, any Exercise Notice) shall be in writing and shall be deemed given and effective on the earliest of (i) the date of transmission, if such notice or communication is delivered via facsimile or confirmed e-mail at the facsimile number or e-mail address specified in the Purchase Agreement prior to 5:30 P.M., New York City time, on a Trading Day, (ii) the next Trading Day after the date of transmission, if such notice or communication is delivered via facsimile or confirmed e-mail at the facsimile number or e-mail address specified in the Purchase Agreement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 The address and facsimile number of a Person for such notices or communications shall be as set forth in the Purchase Agreement unless changed by such Person by two</w:t>
      </w:r>
    </w:p>
    <w:p>
      <w:pPr>
        <w:ind w:left="4" w:right="2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(2) Trading Days’ prior written notice to the other Persons in accordance with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In all cases, a copy of any notice to the Transfer Agent shall be simultaneously submitted to the Company at [***].</w:t>
      </w:r>
    </w:p>
    <w:p>
      <w:pPr>
        <w:spacing w:after="0" w:line="181"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Agent</w:t>
      </w:r>
      <w:r>
        <w:rPr>
          <w:rFonts w:ascii="Times New Roman" w:cs="Times New Roman" w:eastAsia="Times New Roman" w:hAnsi="Times New Roman"/>
          <w:sz w:val="18"/>
          <w:szCs w:val="18"/>
          <w:color w:val="auto"/>
        </w:rPr>
        <w:t>. The Company shall initially serve as warrant agent under this Warrant. Upon thirty (30) days’ notice to the Holder, the Company</w:t>
      </w:r>
    </w:p>
    <w:p>
      <w:pPr>
        <w:spacing w:after="0" w:line="27" w:lineRule="exact"/>
        <w:rPr>
          <w:rFonts w:ascii="Times New Roman" w:cs="Times New Roman" w:eastAsia="Times New Roman" w:hAnsi="Times New Roman"/>
          <w:sz w:val="18"/>
          <w:szCs w:val="18"/>
          <w:color w:val="auto"/>
        </w:rPr>
      </w:pPr>
    </w:p>
    <w:p>
      <w:pPr>
        <w:ind w:left="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stockholders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pacing w:after="0" w:line="186"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60" w:firstLine="4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No Rights as a Stockholder</w:t>
      </w:r>
      <w:r>
        <w:rPr>
          <w:rFonts w:ascii="Times New Roman" w:cs="Times New Roman" w:eastAsia="Times New Roman" w:hAnsi="Times New Roman"/>
          <w:sz w:val="18"/>
          <w:szCs w:val="18"/>
          <w:color w:val="auto"/>
        </w:rPr>
        <w:t>. The Holder, solely in such Person’s capacity as a holder of this Warrant, shall not be entitled to vote or receive dividends or be deemed the holder of capital stock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pacing w:after="0" w:line="12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4"/>
          </w:cols>
          <w:pgMar w:left="436" w:top="270" w:right="499" w:bottom="1440" w:gutter="0" w:footer="0" w:header="0"/>
        </w:sectPr>
      </w:pPr>
    </w:p>
    <w:bookmarkStart w:id="91" w:name="page92"/>
    <w:bookmarkEnd w:id="9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 </w:t>
      </w: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i.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88" w:lineRule="exact"/>
        <w:rPr>
          <w:sz w:val="20"/>
          <w:szCs w:val="20"/>
          <w:color w:val="auto"/>
        </w:rPr>
      </w:pPr>
    </w:p>
    <w:p>
      <w:pPr>
        <w:jc w:val="both"/>
        <w:ind w:right="100" w:firstLine="987"/>
        <w:spacing w:after="0" w:line="266" w:lineRule="auto"/>
        <w:tabs>
          <w:tab w:leader="none" w:pos="1181"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5" w:lineRule="exact"/>
        <w:rPr>
          <w:rFonts w:ascii="Times New Roman" w:cs="Times New Roman" w:eastAsia="Times New Roman" w:hAnsi="Times New Roman"/>
          <w:sz w:val="18"/>
          <w:szCs w:val="18"/>
          <w:color w:val="auto"/>
        </w:rPr>
      </w:pPr>
    </w:p>
    <w:p>
      <w:pPr>
        <w:ind w:right="20" w:firstLine="436"/>
        <w:spacing w:after="0" w:line="256" w:lineRule="auto"/>
        <w:tabs>
          <w:tab w:leader="none" w:pos="61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the restrictions on transfer set forth in this Warrant and in Section 4.2 of the Purchase Agreement and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permitted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w:t>
      </w:r>
    </w:p>
    <w:p>
      <w:pPr>
        <w:spacing w:after="0" w:line="187" w:lineRule="exact"/>
        <w:rPr>
          <w:rFonts w:ascii="Times New Roman" w:cs="Times New Roman" w:eastAsia="Times New Roman" w:hAnsi="Times New Roman"/>
          <w:sz w:val="18"/>
          <w:szCs w:val="18"/>
          <w:color w:val="auto"/>
        </w:rPr>
      </w:pPr>
    </w:p>
    <w:p>
      <w:pPr>
        <w:jc w:val="both"/>
        <w:ind w:right="180" w:firstLine="436"/>
        <w:spacing w:after="0" w:line="266" w:lineRule="auto"/>
        <w:tabs>
          <w:tab w:leader="none" w:pos="6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Except as otherwise provided herein and subject to the restrictions set forth in the last sentence of Section 6.4 of the Purchase Agreement, the provisions of the Warrants may be amended and the Company may take any action herein prohibited, or omit to perform any act herein required to be performed by it, only if the Company has obtained the written consent of the Holder.</w:t>
      </w:r>
    </w:p>
    <w:p>
      <w:pPr>
        <w:spacing w:after="0" w:line="175" w:lineRule="exact"/>
        <w:rPr>
          <w:rFonts w:ascii="Times New Roman" w:cs="Times New Roman" w:eastAsia="Times New Roman" w:hAnsi="Times New Roman"/>
          <w:sz w:val="18"/>
          <w:szCs w:val="18"/>
          <w:color w:val="auto"/>
        </w:rPr>
      </w:pPr>
    </w:p>
    <w:p>
      <w:pPr>
        <w:ind w:left="600" w:hanging="164"/>
        <w:spacing w:after="0"/>
        <w:tabs>
          <w:tab w:leader="none" w:pos="6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Acceptance</w:t>
      </w:r>
      <w:r>
        <w:rPr>
          <w:rFonts w:ascii="Times New Roman" w:cs="Times New Roman" w:eastAsia="Times New Roman" w:hAnsi="Times New Roman"/>
          <w:sz w:val="18"/>
          <w:szCs w:val="18"/>
          <w:color w:val="auto"/>
        </w:rPr>
        <w:t>. Receipt of this Warrant by the Holder shall constitute acceptance of and agreement to all of the terms and conditions contained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herein.</w:t>
      </w:r>
    </w:p>
    <w:p>
      <w:pPr>
        <w:spacing w:after="0" w:line="206" w:lineRule="exact"/>
        <w:rPr>
          <w:rFonts w:ascii="Times New Roman" w:cs="Times New Roman" w:eastAsia="Times New Roman" w:hAnsi="Times New Roman"/>
          <w:sz w:val="18"/>
          <w:szCs w:val="18"/>
          <w:color w:val="auto"/>
        </w:rPr>
      </w:pPr>
    </w:p>
    <w:p>
      <w:pPr>
        <w:ind w:right="100" w:firstLine="436"/>
        <w:spacing w:after="0" w:line="268" w:lineRule="auto"/>
        <w:tabs>
          <w:tab w:leader="none" w:pos="59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 Jurisdiction</w:t>
      </w:r>
      <w:r>
        <w:rPr>
          <w:rFonts w:ascii="Times New Roman" w:cs="Times New Roman" w:eastAsia="Times New Roman" w:hAnsi="Times New Roman"/>
          <w:sz w:val="17"/>
          <w:szCs w:val="17"/>
          <w:color w:val="auto"/>
        </w:rPr>
        <w:t>.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UNDER THE PURCHASE AGREEMENT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92" w:name="page93"/>
    <w:bookmarkEnd w:id="92"/>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Warrant and shall not be deemed to limit or affect any of the provisions hereof.</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w:t>
      </w:r>
    </w:p>
    <w:p>
      <w:pPr>
        <w:spacing w:after="0" w:line="180"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For purposes of this Warrant, (a) the words “include,” “includes” and “including” are deemed to be followed by the words “without limitation”; (b) the word “or” is not exclusive; and (c) the words “herein,” “hereof, “hereby,” “hereto” and “hereunder” refer to this Warrant as a whole. Unless the context otherwise requires, references herein: (x) to sections and schedules mean the sections of, and schedules attached to, this Warrant; (y) to an agreement, instrument, or other document means such agreement, instrument, or other document (as amended, supplemented and modified from time to time to the extent permitted by the provisions thereof/without regard to subsequent amendments, supplements, and modifications thereto); and (z) to a statute means such statute (as amended from time to time and includes/enforced at the time and date of this Warrant becoming effective) and does not include any successor legislation thereto and any regulations promulgated thereunder. This Warrant shall be construed without regard to any presumption or rule requiring construction or interpretation against the party drafting an instrument or causing any instrument to be drafted. The schedules referred to herein shall be construed with, and as an integral part of, this Warrant to the same extent as if they were set forth verbatim herein. All references to “$” or “dollars” mean the lawful currency of the United States of America. Whenever the singular is used in this Warrant, the same shall include the plural, and whenever the plural is used herein, the same shall include the singular, where appropriate.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Warrant to be duly executed by its authorized officer as of the date first indicated above.</w:t>
      </w:r>
    </w:p>
    <w:p>
      <w:pPr>
        <w:spacing w:after="0" w:line="26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ZYMEWORKS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480"/>
          </w:cols>
          <w:pgMar w:left="440" w:top="270" w:right="979" w:bottom="1440" w:gutter="0" w:footer="0" w:header="0"/>
        </w:sectPr>
      </w:pPr>
    </w:p>
    <w:bookmarkStart w:id="94" w:name="page95"/>
    <w:bookmarkEnd w:id="94"/>
    <w:p>
      <w:pPr>
        <w:jc w:val="center"/>
        <w:ind w:right="-23"/>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FORM OF EXERCISE NOTICE</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[To be executed by the Holder to purchase shares of Common Stock under the Warrant]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5" w:lineRule="exact"/>
        <w:rPr>
          <w:sz w:val="20"/>
          <w:szCs w:val="20"/>
          <w:color w:val="auto"/>
        </w:rPr>
      </w:pPr>
    </w:p>
    <w:p>
      <w:pPr>
        <w:ind w:left="4" w:right="100" w:hanging="4"/>
        <w:spacing w:after="0" w:line="284" w:lineRule="auto"/>
        <w:tabs>
          <w:tab w:leader="none" w:pos="25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the Holder of Warrant No. [•] (the “</w:t>
      </w:r>
      <w:r>
        <w:rPr>
          <w:rFonts w:ascii="Times New Roman" w:cs="Times New Roman" w:eastAsia="Times New Roman" w:hAnsi="Times New Roman"/>
          <w:sz w:val="18"/>
          <w:szCs w:val="18"/>
          <w:i w:val="1"/>
          <w:iCs w:val="1"/>
          <w:color w:val="auto"/>
        </w:rPr>
        <w:t>Warrant</w:t>
      </w:r>
      <w:r>
        <w:rPr>
          <w:rFonts w:ascii="Times New Roman" w:cs="Times New Roman" w:eastAsia="Times New Roman" w:hAnsi="Times New Roman"/>
          <w:sz w:val="18"/>
          <w:szCs w:val="18"/>
          <w:color w:val="auto"/>
        </w:rPr>
        <w:t>”) issued by Zymeworks Inc.,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Capitalized terms used herein and not otherwise defined herein have the respective meanings set forth in the Warrant.</w:t>
      </w:r>
    </w:p>
    <w:p>
      <w:pPr>
        <w:spacing w:after="0" w:line="160"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exercises its right to purchase Warrant Shares pursuant to the Warrant.</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intends that payment of the Exercise Price shall be made as (check one):</w:t>
      </w:r>
    </w:p>
    <w:p>
      <w:pPr>
        <w:spacing w:after="0" w:line="117" w:lineRule="exact"/>
        <w:rPr>
          <w:sz w:val="20"/>
          <w:szCs w:val="20"/>
          <w:color w:val="auto"/>
        </w:rPr>
      </w:pPr>
    </w:p>
    <w:p>
      <w:pPr>
        <w:ind w:left="204" w:hanging="204"/>
        <w:spacing w:after="0"/>
        <w:tabs>
          <w:tab w:leader="none" w:pos="204" w:val="left"/>
        </w:tabs>
        <w:numPr>
          <w:ilvl w:val="0"/>
          <w:numId w:val="8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Cash Exercise</w:t>
      </w:r>
    </w:p>
    <w:p>
      <w:pPr>
        <w:spacing w:after="0" w:line="117" w:lineRule="exact"/>
        <w:rPr>
          <w:rFonts w:ascii="MS PGothic" w:cs="MS PGothic" w:eastAsia="MS PGothic" w:hAnsi="MS PGothic"/>
          <w:sz w:val="18"/>
          <w:szCs w:val="18"/>
          <w:color w:val="auto"/>
        </w:rPr>
      </w:pPr>
    </w:p>
    <w:p>
      <w:pPr>
        <w:ind w:left="204" w:hanging="204"/>
        <w:spacing w:after="0"/>
        <w:tabs>
          <w:tab w:leader="none" w:pos="204" w:val="left"/>
        </w:tabs>
        <w:numPr>
          <w:ilvl w:val="0"/>
          <w:numId w:val="8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“Cashless Exercise” under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the Warrant</w:t>
      </w:r>
    </w:p>
    <w:p>
      <w:pPr>
        <w:spacing w:after="0" w:line="225" w:lineRule="exact"/>
        <w:rPr>
          <w:sz w:val="20"/>
          <w:szCs w:val="20"/>
          <w:color w:val="auto"/>
        </w:rPr>
      </w:pPr>
    </w:p>
    <w:p>
      <w:pPr>
        <w:ind w:left="4" w:right="340" w:hanging="4"/>
        <w:spacing w:after="0" w:line="282" w:lineRule="auto"/>
        <w:tabs>
          <w:tab w:leader="none" w:pos="25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has elected a Cash Exercise, the Holder shall pay the sum of $_____ in immediately available funds to the Company in accordance with the terms of the Warrant.</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this Exercise Notice, the Company shall deliver to the Holder Warrant Shares determined in accordance with the terms of the Warrant.</w:t>
      </w:r>
    </w:p>
    <w:p>
      <w:pPr>
        <w:spacing w:after="0" w:line="225" w:lineRule="exact"/>
        <w:rPr>
          <w:rFonts w:ascii="Times New Roman" w:cs="Times New Roman" w:eastAsia="Times New Roman" w:hAnsi="Times New Roman"/>
          <w:sz w:val="18"/>
          <w:szCs w:val="18"/>
          <w:color w:val="auto"/>
        </w:rPr>
      </w:pPr>
    </w:p>
    <w:p>
      <w:pPr>
        <w:ind w:left="4" w:right="40" w:hanging="4"/>
        <w:spacing w:after="0" w:line="266" w:lineRule="auto"/>
        <w:tabs>
          <w:tab w:leader="none" w:pos="25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its delivery of this Exercise Notice,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xml:space="preserve"> of the Warrant to which this notice relates.</w:t>
      </w:r>
    </w:p>
    <w:p>
      <w:pPr>
        <w:spacing w:after="0" w:line="175" w:lineRule="exact"/>
        <w:rPr>
          <w:rFonts w:ascii="Times New Roman" w:cs="Times New Roman" w:eastAsia="Times New Roman" w:hAnsi="Times New Roman"/>
          <w:sz w:val="18"/>
          <w:szCs w:val="18"/>
          <w:color w:val="auto"/>
        </w:rPr>
      </w:pPr>
    </w:p>
    <w:p>
      <w:pPr>
        <w:ind w:left="4" w:hanging="4"/>
        <w:spacing w:after="0" w:line="261" w:lineRule="auto"/>
        <w:tabs>
          <w:tab w:leader="none" w:pos="25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its delivery of this Exercise Notice and pursuant to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 xml:space="preserve"> of the Warrant, the undersigned certifies to the Company that its representations contained in Sections 3.2(b), (c) and (d) of the Purchase Agreement are true and correct as of the date hereof as if remade in their entirety (or, in the case of any transferee Holder that is not a party to the Purchase Agreement, such transferee Holder’s certification to the Company that such representations are true and correct as to such transferee Holder as of the date hereof).</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951230</wp:posOffset>
            </wp:positionH>
            <wp:positionV relativeFrom="paragraph">
              <wp:posOffset>17145</wp:posOffset>
            </wp:positionV>
            <wp:extent cx="18427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23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951230</wp:posOffset>
            </wp:positionH>
            <wp:positionV relativeFrom="paragraph">
              <wp:posOffset>17145</wp:posOffset>
            </wp:positionV>
            <wp:extent cx="184277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842770" cy="8890"/>
                    </a:xfrm>
                    <a:prstGeom prst="rect">
                      <a:avLst/>
                    </a:prstGeom>
                    <a:noFill/>
                  </pic:spPr>
                </pic:pic>
              </a:graphicData>
            </a:graphic>
          </wp:anchor>
        </w:drawing>
      </w:r>
    </w:p>
    <w:p>
      <w:pPr>
        <w:spacing w:after="0" w:line="23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Number of Warrant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Shares Exercised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Pursuant to this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951230</wp:posOffset>
            </wp:positionH>
            <wp:positionV relativeFrom="paragraph">
              <wp:posOffset>-10795</wp:posOffset>
            </wp:positionV>
            <wp:extent cx="18427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951230</wp:posOffset>
            </wp:positionH>
            <wp:positionV relativeFrom="paragraph">
              <wp:posOffset>17145</wp:posOffset>
            </wp:positionV>
            <wp:extent cx="18427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951230</wp:posOffset>
            </wp:positionH>
            <wp:positionV relativeFrom="paragraph">
              <wp:posOffset>17145</wp:posOffset>
            </wp:positionV>
            <wp:extent cx="18427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951230</wp:posOffset>
            </wp:positionH>
            <wp:positionV relativeFrom="paragraph">
              <wp:posOffset>17145</wp:posOffset>
            </wp:positionV>
            <wp:extent cx="18427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23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(Signature must conform in all respects to name of Holder as specified on the face of the Warrant)</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4"/>
          </w:cols>
          <w:pgMar w:left="436" w:top="270" w:right="479" w:bottom="1440" w:gutter="0" w:footer="0" w:header="0"/>
        </w:sectPr>
      </w:pPr>
    </w:p>
    <w:bookmarkStart w:id="95" w:name="page96"/>
    <w:bookmarkEnd w:id="95"/>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OF ASSIGNMENT</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[To be completed and executed by the Holder only upon transfer of the Warrant]</w:t>
      </w:r>
    </w:p>
    <w:p>
      <w:pPr>
        <w:spacing w:after="0" w:line="223"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8"/>
          <w:szCs w:val="18"/>
          <w:color w:val="auto"/>
        </w:rPr>
        <w:t>FOR VALUE RECEIVED, the undersigned hereby sells, assigns and transfers unto (the “</w:t>
      </w:r>
      <w:r>
        <w:rPr>
          <w:rFonts w:ascii="Times New Roman" w:cs="Times New Roman" w:eastAsia="Times New Roman" w:hAnsi="Times New Roman"/>
          <w:sz w:val="18"/>
          <w:szCs w:val="18"/>
          <w:i w:val="1"/>
          <w:iCs w:val="1"/>
          <w:color w:val="auto"/>
        </w:rPr>
        <w:t>Transferee</w:t>
      </w:r>
      <w:r>
        <w:rPr>
          <w:rFonts w:ascii="Times New Roman" w:cs="Times New Roman" w:eastAsia="Times New Roman" w:hAnsi="Times New Roman"/>
          <w:sz w:val="18"/>
          <w:szCs w:val="18"/>
          <w:color w:val="auto"/>
        </w:rPr>
        <w:t>”) the right represented by the within Warrant to purchase shares of Common Stock of Zymeworks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to which the within Warrant relates and appoints attorney to transfer said right on the books of the Company with full power of substitution in the premises. In connection therewith, the undersigned represents, warrants, covenants and agrees to and with the Company that:</w:t>
      </w:r>
    </w:p>
    <w:p>
      <w:pPr>
        <w:spacing w:after="0" w:line="74" w:lineRule="exact"/>
        <w:rPr>
          <w:sz w:val="20"/>
          <w:szCs w:val="20"/>
          <w:color w:val="auto"/>
        </w:rPr>
      </w:pPr>
    </w:p>
    <w:p>
      <w:pPr>
        <w:jc w:val="both"/>
        <w:ind w:left="4" w:hanging="4"/>
        <w:spacing w:after="0" w:line="266" w:lineRule="auto"/>
        <w:tabs>
          <w:tab w:leader="none" w:pos="25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and sale of the Warrant contemplated hereby is being made in compliance with Section 4(a)(1) of the United States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or another valid exemption from the registration requirements of Section 5 of the Securities Act and in compliance with all applicable securities laws of the states of the United States;</w:t>
      </w:r>
    </w:p>
    <w:p>
      <w:pPr>
        <w:spacing w:after="0" w:line="175" w:lineRule="exact"/>
        <w:rPr>
          <w:rFonts w:ascii="Times New Roman" w:cs="Times New Roman" w:eastAsia="Times New Roman" w:hAnsi="Times New Roman"/>
          <w:sz w:val="18"/>
          <w:szCs w:val="18"/>
          <w:color w:val="auto"/>
        </w:rPr>
      </w:pPr>
    </w:p>
    <w:p>
      <w:pPr>
        <w:jc w:val="both"/>
        <w:ind w:left="4" w:hanging="4"/>
        <w:spacing w:after="0" w:line="266" w:lineRule="auto"/>
        <w:tabs>
          <w:tab w:leader="none" w:pos="2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has not offered to sell the Warrant by any form of general solicitation or general advertising, including, but not limited to, any advertisement, article, notice or other communication published in any newspaper, magazine or similar media or broadcast over television or radio, and any seminar or meeting whose attendees have been invited by any general solicitation or general advertising;</w:t>
      </w:r>
    </w:p>
    <w:p>
      <w:pPr>
        <w:spacing w:after="0" w:line="175" w:lineRule="exact"/>
        <w:rPr>
          <w:rFonts w:ascii="Times New Roman" w:cs="Times New Roman" w:eastAsia="Times New Roman" w:hAnsi="Times New Roman"/>
          <w:sz w:val="18"/>
          <w:szCs w:val="18"/>
          <w:color w:val="auto"/>
        </w:rPr>
      </w:pPr>
    </w:p>
    <w:p>
      <w:pPr>
        <w:ind w:left="4" w:hanging="4"/>
        <w:spacing w:after="0" w:line="282" w:lineRule="auto"/>
        <w:tabs>
          <w:tab w:leader="none" w:pos="25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has read the Transferee’s investment letter included herewith, and to its actual knowledge, the statements made therein are true and correct; and</w:t>
      </w:r>
    </w:p>
    <w:p>
      <w:pPr>
        <w:spacing w:after="0" w:line="161" w:lineRule="exact"/>
        <w:rPr>
          <w:rFonts w:ascii="Times New Roman" w:cs="Times New Roman" w:eastAsia="Times New Roman" w:hAnsi="Times New Roman"/>
          <w:sz w:val="18"/>
          <w:szCs w:val="18"/>
          <w:color w:val="auto"/>
        </w:rPr>
      </w:pPr>
    </w:p>
    <w:p>
      <w:pPr>
        <w:jc w:val="both"/>
        <w:ind w:left="4" w:hanging="4"/>
        <w:spacing w:after="0" w:line="261" w:lineRule="auto"/>
        <w:tabs>
          <w:tab w:leader="none" w:pos="26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understands that the Company may condition the transfer of the Warrant contemplated hereby upon the delivery to the Company by the undersigned or the Transferee, as the case may be, of a written opinion of counsel (which opinion shall be in form, substance and scope customary for opinions of counsel in comparable transactions) to the effect that such transfer may be made without registration under the Securities Act and under applicable securities laws of the states of the United States.</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17145</wp:posOffset>
            </wp:positionV>
            <wp:extent cx="32143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214370" cy="8255"/>
                    </a:xfrm>
                    <a:prstGeom prst="rect">
                      <a:avLst/>
                    </a:prstGeom>
                    <a:noFill/>
                  </pic:spPr>
                </pic:pic>
              </a:graphicData>
            </a:graphic>
          </wp:anchor>
        </w:drawing>
        <w:drawing>
          <wp:anchor simplePos="0" relativeHeight="251657728" behindDoc="1" locked="0" layoutInCell="0" allowOverlap="1">
            <wp:simplePos x="0" y="0"/>
            <wp:positionH relativeFrom="column">
              <wp:posOffset>332740</wp:posOffset>
            </wp:positionH>
            <wp:positionV relativeFrom="paragraph">
              <wp:posOffset>-7620</wp:posOffset>
            </wp:positionV>
            <wp:extent cx="8001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16" w:lineRule="exact"/>
        <w:rPr>
          <w:sz w:val="20"/>
          <w:szCs w:val="20"/>
          <w:color w:val="auto"/>
        </w:rPr>
      </w:pPr>
    </w:p>
    <w:p>
      <w:pPr>
        <w:ind w:left="5944"/>
        <w:spacing w:after="0"/>
        <w:rPr>
          <w:sz w:val="20"/>
          <w:szCs w:val="20"/>
          <w:color w:val="auto"/>
        </w:rPr>
      </w:pPr>
      <w:r>
        <w:rPr>
          <w:rFonts w:ascii="Times New Roman" w:cs="Times New Roman" w:eastAsia="Times New Roman" w:hAnsi="Times New Roman"/>
          <w:sz w:val="18"/>
          <w:szCs w:val="18"/>
          <w:color w:val="auto"/>
        </w:rPr>
        <w:t>(Signature must conform in all respects to name of holder as specified</w:t>
      </w:r>
    </w:p>
    <w:p>
      <w:pPr>
        <w:spacing w:after="0" w:line="27" w:lineRule="exact"/>
        <w:rPr>
          <w:sz w:val="20"/>
          <w:szCs w:val="20"/>
          <w:color w:val="auto"/>
        </w:rPr>
      </w:pPr>
    </w:p>
    <w:p>
      <w:pPr>
        <w:ind w:left="5944"/>
        <w:spacing w:after="0"/>
        <w:rPr>
          <w:sz w:val="20"/>
          <w:szCs w:val="20"/>
          <w:color w:val="auto"/>
        </w:rPr>
      </w:pPr>
      <w:r>
        <w:rPr>
          <w:rFonts w:ascii="Times New Roman" w:cs="Times New Roman" w:eastAsia="Times New Roman" w:hAnsi="Times New Roman"/>
          <w:sz w:val="18"/>
          <w:szCs w:val="18"/>
          <w:color w:val="auto"/>
        </w:rPr>
        <w:t>on the face of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142875</wp:posOffset>
            </wp:positionV>
            <wp:extent cx="32143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14" w:lineRule="exact"/>
        <w:rPr>
          <w:sz w:val="20"/>
          <w:szCs w:val="20"/>
          <w:color w:val="auto"/>
        </w:rPr>
      </w:pPr>
    </w:p>
    <w:p>
      <w:pPr>
        <w:ind w:left="5944"/>
        <w:spacing w:after="0"/>
        <w:rPr>
          <w:sz w:val="20"/>
          <w:szCs w:val="20"/>
          <w:color w:val="auto"/>
        </w:rPr>
      </w:pPr>
      <w:r>
        <w:rPr>
          <w:rFonts w:ascii="Times New Roman" w:cs="Times New Roman" w:eastAsia="Times New Roman" w:hAnsi="Times New Roman"/>
          <w:sz w:val="18"/>
          <w:szCs w:val="18"/>
          <w:color w:val="auto"/>
        </w:rPr>
        <w:t>Address of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154305</wp:posOffset>
            </wp:positionV>
            <wp:extent cx="321437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3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17145</wp:posOffset>
            </wp:positionV>
            <wp:extent cx="321437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2143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308610</wp:posOffset>
            </wp:positionV>
            <wp:extent cx="328295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173990</wp:posOffset>
            </wp:positionV>
            <wp:extent cx="1997075" cy="9004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997075"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Zymeworks Announces $50 Million Private Placement to EcoR1 Capital</w:t>
      </w:r>
    </w:p>
    <w:p>
      <w:pPr>
        <w:spacing w:after="0" w:line="256" w:lineRule="exact"/>
        <w:rPr>
          <w:sz w:val="20"/>
          <w:szCs w:val="20"/>
          <w:color w:val="auto"/>
        </w:rPr>
      </w:pPr>
    </w:p>
    <w:p>
      <w:pPr>
        <w:ind w:left="960" w:hanging="424"/>
        <w:spacing w:after="0"/>
        <w:tabs>
          <w:tab w:leader="none" w:pos="9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expected to extend cash runway into H2 2027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Vancouver, British Columbia (December 26, 2023) </w:t>
      </w:r>
      <w:r>
        <w:rPr>
          <w:rFonts w:ascii="Times New Roman" w:cs="Times New Roman" w:eastAsia="Times New Roman" w:hAnsi="Times New Roman"/>
          <w:sz w:val="18"/>
          <w:szCs w:val="18"/>
          <w:color w:val="auto"/>
        </w:rPr>
        <w:t>– Zymeworks Inc. (Nasdaq: ZYME), a clinical-stage biopharmaceutical company developing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novel, multifunctional biotherapeutics, today announced that it had entered into a securities purchase agreement with funds affiliated with EcoR1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LLC (“EcoR1 Capital”), for the sale of an aggregate of 5,086,521 pre-funded warrants to purchase 5,086,521 shares of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$0.00001 par value per share, in a private placement. Each pre-funded warrant will be exercisable at an exercise price equal to $0.0001 per share, subject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adjustments as provided under the terms of the pre-funded warrant and will be exercisable at any time on or after the closing date, subject to a post-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beneficial ownership limitation of 19.99%.</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are grateful for the ongoing commitment and additional financial support from our largest stockholder, EcoR1 Capital, as we work towards making a meaningful difference for people impacted by difficult-to-treat cancers and other serious diseases” said Kenneth Galbraith, Chair and Chief Executive Officer of Zymeworks. “The proceeds from this transaction allow us to further strengthen our financial position and extend our cash runway ahead of key milestones and events expected in 2024 and 2025.”</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proceeds from this transaction will help to broaden and potentially accelerate the Company’s ‘5 by 5’ research and development strategy, with investigational new drug application filings for ZW171 and ZW191 scheduled for 2024, as well as for use in funding general corporate purposes. Based on the Company’s current operating plan, Zymeworks anticipates that the proceeds from this transaction will now extend its current cash runway into H2 2027.</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gross proceeds from the offering are expected to be approximately $50 million, before deducting estimated offering expenses. The private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placement is expected to close on or about December 28, 2023, subject to the satisfaction of customary closing conditions. The purchase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$9.8299 for each pre-funded warrant was based on the closing price of $9.83 per share of Company’s common stock on The Nasdaq Stock Market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22, 2023.</w:t>
      </w:r>
    </w:p>
    <w:p>
      <w:pPr>
        <w:spacing w:after="0" w:line="20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addition, the Company has agreed that EcoR1 Capital will have the right, anytime until January 1, 2026, to nominate one of its partners as a member of the board of directors of Zymeworks, subject to specified conditions.</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securities sold in this private placement have not been registered under the Securities Act of 1933, as amended, or state securities laws and may not be offered for sale, sold, transferred, assigned or otherwise disposed of absent registration with the U.S. Securities and Exchange Commission (SEC) or an applicable exemption from the registration requirements. Pursuant to the terms of a registration rights agreement entered into by Zymeworks with the investors, Zymeworks has agreed to file a registration statement with the SEC registering the resale of the shares of common stock issuable upon exercise of the pre-funded warrants.</w:t>
      </w:r>
    </w:p>
    <w:p>
      <w:pPr>
        <w:sectPr>
          <w:pgSz w:w="11900" w:h="16838" w:orient="portrait"/>
          <w:cols w:equalWidth="0" w:num="1">
            <w:col w:w="11020"/>
          </w:cols>
          <w:pgMar w:left="440" w:top="117" w:right="439" w:bottom="1440" w:gutter="0" w:footer="0" w:header="0"/>
        </w:sectPr>
      </w:pPr>
    </w:p>
    <w:bookmarkStart w:id="97" w:name="page98"/>
    <w:bookmarkEnd w:id="97"/>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press release shall not constitute an offer to sell or a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details regarding this private placement will be included in a Current Report on Form 8-K to be filed by Zymeworks with the SEC.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Zymeworks Inc.</w:t>
      </w:r>
    </w:p>
    <w:p>
      <w:pPr>
        <w:spacing w:after="0" w:line="12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Zymeworks Inc. (Nasdaq: ZYME) is a global biotechnology company committed to the discovery, development, and commercialization of novel, multifunctional biotherapeutics. Zymeworks’ mission is to make a meaningful difference for people impacted by difficult-to-treat cancers and other serious diseases. Zymeworks’ complementary therapeutic platforms and fully integrated drug development engine provide the flexibility and compatibility to precisely engineer and develop highly differentiated antibody-based therapeutic candidates. Zymeworks engineered and developed zanidatamab, a HER2-targeted bispecific antibody using Zymeworks’ proprietary Azymetric</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technology. Zymeworks has entered into separate agreements with BeiGene, Ltd. (BeiGene) and Jazz Pharmaceuticals Ireland Limited (Jazz), granting each of BeiGene and Jazz with exclusive rights to develop and commercialize zanidatamab in different territories. Zanidatamab is currently being evaluated in global Phase 1, Phase 2, and Phase 3 clinical trials, including certain ongoing pivotal clinical trials as a treatment for patients with HER2-expressing cancers. Zymeworks’ next clinical candidate, zanidatamab zovodotin (ZW49), is a HER2-targeted bispecific antibody-drug conjugate (ADC) developed using Zymeworks’ proprietary Azymetric</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ZymeLink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Auristatin technologies. Zanidatamab zovodotin is being evaluated in a Phase 2 clinical trial for patients with HER2-expressing non-small cell lung cancer. Zymeworks is also advancing a deep pipeline of product candidates based on its experience and capabilities in both ADC and multispecific antibodies (MSAT), including planned IND filings for ZW171 and ZW191 in 2024. In addition to Zymeworks’ wholly owned pipeline, its therapeutic platforms have been further leveraged through strategic partnerships with global biopharmaceutical companies. For information about Zymeworks, visit </w:t>
      </w:r>
      <w:r>
        <w:rPr>
          <w:rFonts w:ascii="Times New Roman" w:cs="Times New Roman" w:eastAsia="Times New Roman" w:hAnsi="Times New Roman"/>
          <w:sz w:val="18"/>
          <w:szCs w:val="18"/>
          <w:u w:val="single" w:color="auto"/>
          <w:color w:val="auto"/>
        </w:rPr>
        <w:t>www.zymeworks.com</w:t>
      </w:r>
      <w:r>
        <w:rPr>
          <w:rFonts w:ascii="Times New Roman" w:cs="Times New Roman" w:eastAsia="Times New Roman" w:hAnsi="Times New Roman"/>
          <w:sz w:val="18"/>
          <w:szCs w:val="18"/>
          <w:color w:val="auto"/>
        </w:rPr>
        <w:t xml:space="preserve"> and follow </w:t>
      </w:r>
      <w:r>
        <w:rPr>
          <w:rFonts w:ascii="Times New Roman" w:cs="Times New Roman" w:eastAsia="Times New Roman" w:hAnsi="Times New Roman"/>
          <w:sz w:val="18"/>
          <w:szCs w:val="18"/>
          <w:u w:val="single" w:color="auto"/>
          <w:color w:val="auto"/>
        </w:rPr>
        <w:t>@ZymeworksInc</w:t>
      </w:r>
      <w:r>
        <w:rPr>
          <w:rFonts w:ascii="Times New Roman" w:cs="Times New Roman" w:eastAsia="Times New Roman" w:hAnsi="Times New Roman"/>
          <w:sz w:val="18"/>
          <w:szCs w:val="18"/>
          <w:color w:val="auto"/>
        </w:rPr>
        <w:t xml:space="preserve"> on X.</w:t>
      </w:r>
    </w:p>
    <w:p>
      <w:pPr>
        <w:sectPr>
          <w:pgSz w:w="11900" w:h="16838" w:orient="portrait"/>
          <w:cols w:equalWidth="0" w:num="1">
            <w:col w:w="10880"/>
          </w:cols>
          <w:pgMar w:left="440" w:top="270" w:right="579" w:bottom="1440" w:gutter="0" w:footer="0" w:header="0"/>
        </w:sectPr>
      </w:pPr>
    </w:p>
    <w:bookmarkStart w:id="98" w:name="page99"/>
    <w:bookmarkEnd w:id="98"/>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Cautionary Note Regarding Forward-Looking Statements</w:t>
      </w:r>
    </w:p>
    <w:p>
      <w:pPr>
        <w:spacing w:after="0" w:line="121" w:lineRule="exact"/>
        <w:rPr>
          <w:sz w:val="20"/>
          <w:szCs w:val="20"/>
          <w:color w:val="auto"/>
        </w:rPr>
      </w:pPr>
    </w:p>
    <w:p>
      <w:pPr>
        <w:ind w:left="4"/>
        <w:spacing w:after="0" w:line="251" w:lineRule="auto"/>
        <w:rPr>
          <w:sz w:val="20"/>
          <w:szCs w:val="20"/>
          <w:color w:val="auto"/>
        </w:rPr>
      </w:pPr>
      <w:r>
        <w:rPr>
          <w:rFonts w:ascii="Times New Roman" w:cs="Times New Roman" w:eastAsia="Times New Roman" w:hAnsi="Times New Roman"/>
          <w:sz w:val="18"/>
          <w:szCs w:val="18"/>
          <w:color w:val="auto"/>
        </w:rPr>
        <w:t xml:space="preserve">This press release includes “forward-looking statements” or information within the meaning of the applicable securities legislation, including Section 27A of the Securities Act of 1933, as amended, and Section 21E of the Securities Exchange Act of 1934, as amended. Forward-looking statements in this press release include, but are not limited to, statements regarding the expected closing of the private placement, anticipated receipt and use of proceeds from the private placement, whether the conditions for the closing of the private placement will be satisfied, the filing of a registration statement or final prospectus, as applicable, to register the resale of the shares of common stock issuable upon the exercise of the pre-funded warrants to be issued and sold in the private placement, the anticipated cash runway following closing of the private placement, the timing of anticipated IND filings, and other information that is not historical information. When used herein, words such as “plan”, “believe”, “expect”, “may”, “continue”, “anticipate”, “potential”, “will”, “progress”, and similar expressions are intended to identify forward-looking statements. In addition, any statements or information that refer to expectations, beliefs, plans, projections, objectives, performance or other characterizations of future events or circumstances, including any underlying assumptions, are forward-looking. All forward-looking statements are based upon Zymeworks’ current expectations and various assumptions. Zymeworks believes there is a reasonable basis for its expectations and beliefs, but they are inherently uncertain. Zymeworks may not realize its expectations, and its beliefs may not prove correct. Actual results could differ materially from those described or implied by such forward-looking statements as a result of various factors, including, without limitation: whether the conditions for the closing of the private placement will be satisfied; clinical trials may not demonstrate safety and efficacy of any of Zymeworks’ or its collaborators’ product candidates; any of Zymeworks’ or its partners’ product candidates may fail in development, may not receive required regulatory approvals, or may be delayed to a point where they are not commercially viable; Zymeworks may not achieve milestones or receive additional payments under its collaborations; the impact of pandemics and other health crises on Zymeworks’ business, research and clinical development plans and timelines and results of operations, including impact on its clinical trial sites, collaborators, and contractors who act for or on Zymeworks’ behalf; inability to maintain or enter into new partnerships or strategic collaborations; regulatory agencies may impose additional requirements or delay the initiation of clinical trials; the impact of new or changing laws and regulations; Zymeworks’ assumptions regarding its cash runway may be incorrect; market conditions; and the other risks described under “Risk Factors” in Zymeworks’ Quarterly Report on Form 10-Q for its quarter ended September 30, 2023 (a copy of which may be obtained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www.sedar.com</w:t>
      </w:r>
      <w:r>
        <w:rPr>
          <w:rFonts w:ascii="Times New Roman" w:cs="Times New Roman" w:eastAsia="Times New Roman" w:hAnsi="Times New Roman"/>
          <w:sz w:val="18"/>
          <w:szCs w:val="18"/>
          <w:color w:val="auto"/>
        </w:rPr>
        <w:t>). Although Zymeworks believes that such forward-looking statements are reasonable, there can be no assurance they will prove to be correct. Investors should not place undue reliance on forward-looking statements. The above assumptions, risks and uncertainties are not exhaustive. Forward-looking statements are made as of the date hereof and, except as may be required by law, Zymeworks undertakes no obligation to update, republish, or revise any forward-looking statements to reflect new information, future events or circumstances, or to reflect the occurrences of unanticipated events.</w:t>
      </w:r>
    </w:p>
    <w:p>
      <w:pPr>
        <w:spacing w:after="0" w:line="30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Investor Inquiries: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Shrinal Inamdar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Director, Investor Relations</w:t>
      </w:r>
    </w:p>
    <w:p>
      <w:pPr>
        <w:spacing w:after="0" w:line="9" w:lineRule="exact"/>
        <w:rPr>
          <w:sz w:val="20"/>
          <w:szCs w:val="20"/>
          <w:color w:val="auto"/>
        </w:rPr>
      </w:pPr>
    </w:p>
    <w:p>
      <w:pPr>
        <w:ind w:left="4" w:right="9540" w:hanging="4"/>
        <w:spacing w:after="0" w:line="290" w:lineRule="auto"/>
        <w:tabs>
          <w:tab w:leader="none" w:pos="439"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678-1388 </w:t>
      </w:r>
      <w:r>
        <w:rPr>
          <w:rFonts w:ascii="Times New Roman" w:cs="Times New Roman" w:eastAsia="Times New Roman" w:hAnsi="Times New Roman"/>
          <w:sz w:val="17"/>
          <w:szCs w:val="17"/>
          <w:u w:val="single" w:color="auto"/>
          <w:color w:val="auto"/>
        </w:rPr>
        <w:t>ir@zymeworks.com</w:t>
      </w:r>
    </w:p>
    <w:p>
      <w:pPr>
        <w:spacing w:after="0" w:line="15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Media Inquiries: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Diana Papove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Senior Director, Corporate Communications</w:t>
      </w:r>
    </w:p>
    <w:p>
      <w:pPr>
        <w:spacing w:after="0" w:line="9" w:lineRule="exact"/>
        <w:rPr>
          <w:sz w:val="20"/>
          <w:szCs w:val="20"/>
          <w:color w:val="auto"/>
        </w:rPr>
      </w:pPr>
    </w:p>
    <w:p>
      <w:pPr>
        <w:ind w:left="4" w:right="9220" w:hanging="4"/>
        <w:spacing w:after="0" w:line="290" w:lineRule="auto"/>
        <w:tabs>
          <w:tab w:leader="none" w:pos="439"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678-1388 </w:t>
      </w:r>
      <w:r>
        <w:rPr>
          <w:rFonts w:ascii="Times New Roman" w:cs="Times New Roman" w:eastAsia="Times New Roman" w:hAnsi="Times New Roman"/>
          <w:sz w:val="17"/>
          <w:szCs w:val="17"/>
          <w:u w:val="single" w:color="auto"/>
          <w:color w:val="auto"/>
        </w:rPr>
        <w:t>media@zymeworks.com</w:t>
      </w:r>
    </w:p>
    <w:sectPr>
      <w:pgSz w:w="11900" w:h="16838" w:orient="portrait"/>
      <w:cols w:equalWidth="0" w:num="1">
        <w:col w:w="11004"/>
      </w:cols>
      <w:pgMar w:left="436"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1"/>
      <w:numFmt w:val="decimal"/>
      <w:start w:val="104"/>
    </w:lvl>
  </w:abstractNum>
  <w:abstractNum w:abstractNumId="2">
    <w:nsid w:val="57E4CCAF"/>
    <w:multiLevelType w:val="hybridMultilevel"/>
    <w:lvl w:ilvl="0">
      <w:lvlJc w:val="left"/>
      <w:lvlText w:val="(%1)"/>
      <w:numFmt w:val="lowerRoman"/>
      <w:start w:val="2"/>
    </w:lvl>
  </w:abstractNum>
  <w:abstractNum w:abstractNumId="3">
    <w:nsid w:val="7A6D8D3C"/>
    <w:multiLevelType w:val="hybridMultilevel"/>
    <w:lvl w:ilvl="0">
      <w:lvlJc w:val="left"/>
      <w:lvlText w:val="(%1)"/>
      <w:numFmt w:val="lowerLetter"/>
      <w:start w:val="1"/>
    </w:lvl>
  </w:abstractNum>
  <w:abstractNum w:abstractNumId="4">
    <w:nsid w:val="4B588F5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
    <w:nsid w:val="542289E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3"/>
    </w:lvl>
  </w:abstractNum>
  <w:abstractNum w:abstractNumId="6">
    <w:nsid w:val="6DE91B1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
    <w:nsid w:val="38437FDB"/>
    <w:multiLevelType w:val="hybridMultilevel"/>
    <w:lvl w:ilvl="0">
      <w:lvlJc w:val="left"/>
      <w:lvlText w:val="(%1)"/>
      <w:numFmt w:val="lowerRoman"/>
      <w:start w:val="3"/>
    </w:lvl>
  </w:abstractNum>
  <w:abstractNum w:abstractNumId="8">
    <w:nsid w:val="7644A45C"/>
    <w:multiLevelType w:val="hybridMultilevel"/>
    <w:lvl w:ilvl="0">
      <w:lvlJc w:val="left"/>
      <w:lvlText w:val="(%1)"/>
      <w:numFmt w:val="lowerLetter"/>
      <w:start w:val="1"/>
    </w:lvl>
  </w:abstractNum>
  <w:abstractNum w:abstractNumId="9">
    <w:nsid w:val="32FFF902"/>
    <w:multiLevelType w:val="hybridMultilevel"/>
    <w:lvl w:ilvl="0">
      <w:lvlJc w:val="left"/>
      <w:lvlText w:val="(%1)"/>
      <w:numFmt w:val="lowerLetter"/>
      <w:start w:val="4"/>
    </w:lvl>
  </w:abstractNum>
  <w:abstractNum w:abstractNumId="10">
    <w:nsid w:val="684A481A"/>
    <w:multiLevelType w:val="hybridMultilevel"/>
    <w:lvl w:ilvl="0">
      <w:lvlJc w:val="left"/>
      <w:lvlText w:val="(%1)"/>
      <w:numFmt w:val="lowerLetter"/>
      <w:start w:val="7"/>
    </w:lvl>
  </w:abstractNum>
  <w:abstractNum w:abstractNumId="11">
    <w:nsid w:val="579478FE"/>
    <w:multiLevelType w:val="hybridMultilevel"/>
    <w:lvl w:ilvl="0">
      <w:lvlJc w:val="left"/>
      <w:lvlText w:val="(%1)"/>
      <w:numFmt w:val="lowerLetter"/>
      <w:start w:val="11"/>
    </w:lvl>
  </w:abstractNum>
  <w:abstractNum w:abstractNumId="12">
    <w:nsid w:val="749ABB43"/>
    <w:multiLevelType w:val="hybridMultilevel"/>
    <w:lvl w:ilvl="0">
      <w:lvlJc w:val="left"/>
      <w:lvlText w:val="%1"/>
      <w:numFmt w:val="lowerLetter"/>
      <w:start w:val="1"/>
    </w:lvl>
    <w:lvl w:ilvl="1">
      <w:lvlJc w:val="left"/>
      <w:lvlText w:val="(%2)"/>
      <w:numFmt w:val="lowerLetter"/>
      <w:start w:val="16"/>
    </w:lvl>
  </w:abstractNum>
  <w:abstractNum w:abstractNumId="13">
    <w:nsid w:val="3DC240FB"/>
    <w:multiLevelType w:val="hybridMultilevel"/>
    <w:lvl w:ilvl="0">
      <w:lvlJc w:val="left"/>
      <w:lvlText w:val="(%1)"/>
      <w:numFmt w:val="lowerLetter"/>
      <w:start w:val="2"/>
    </w:lvl>
    <w:lvl w:ilvl="1">
      <w:lvlJc w:val="left"/>
      <w:lvlText w:val="(%2)"/>
      <w:numFmt w:val="lowerLetter"/>
      <w:start w:val="17"/>
    </w:lvl>
  </w:abstractNum>
  <w:abstractNum w:abstractNumId="14">
    <w:nsid w:val="1BA026FA"/>
    <w:multiLevelType w:val="hybridMultilevel"/>
    <w:lvl w:ilvl="0">
      <w:lvlJc w:val="left"/>
      <w:lvlText w:val="(%1)"/>
      <w:numFmt w:val="lowerLetter"/>
      <w:start w:val="61"/>
    </w:lvl>
    <w:lvl w:ilvl="1">
      <w:lvlJc w:val="left"/>
      <w:lvlText w:val="%2"/>
      <w:numFmt w:val="lowerLetter"/>
      <w:start w:val="1"/>
    </w:lvl>
  </w:abstractNum>
  <w:abstractNum w:abstractNumId="15">
    <w:nsid w:val="79A1DEAA"/>
    <w:multiLevelType w:val="hybridMultilevel"/>
    <w:lvl w:ilvl="0">
      <w:lvlJc w:val="left"/>
      <w:lvlText w:val="(%1)"/>
      <w:numFmt w:val="lowerLetter"/>
      <w:start w:val="18"/>
    </w:lvl>
  </w:abstractNum>
  <w:abstractNum w:abstractNumId="16">
    <w:nsid w:val="75C6C33A"/>
    <w:multiLevelType w:val="hybridMultilevel"/>
    <w:lvl w:ilvl="0">
      <w:lvlJc w:val="left"/>
      <w:lvlText w:val="(%1)"/>
      <w:numFmt w:val="lowerLetter"/>
      <w:start w:val="26"/>
    </w:lvl>
  </w:abstractNum>
  <w:abstractNum w:abstractNumId="17">
    <w:nsid w:val="12E685FB"/>
    <w:multiLevelType w:val="hybridMultilevel"/>
    <w:lvl w:ilvl="0">
      <w:lvlJc w:val="left"/>
      <w:lvlText w:val="(%1)"/>
      <w:numFmt w:val="lowerLetter"/>
      <w:start w:val="27"/>
    </w:lvl>
  </w:abstractNum>
  <w:abstractNum w:abstractNumId="18">
    <w:nsid w:val="70C6A529"/>
    <w:multiLevelType w:val="hybridMultilevel"/>
    <w:lvl w:ilvl="0">
      <w:lvlJc w:val="left"/>
      <w:lvlText w:val="(%1)"/>
      <w:numFmt w:val="lowerLetter"/>
      <w:start w:val="32"/>
    </w:lvl>
  </w:abstractNum>
  <w:abstractNum w:abstractNumId="19">
    <w:nsid w:val="520EEDD1"/>
    <w:multiLevelType w:val="hybridMultilevel"/>
    <w:lvl w:ilvl="0">
      <w:lvlJc w:val="left"/>
      <w:lvlText w:val="(%1)"/>
      <w:numFmt w:val="lowerLetter"/>
      <w:start w:val="35"/>
    </w:lvl>
  </w:abstractNum>
  <w:abstractNum w:abstractNumId="20">
    <w:nsid w:val="374A3FE6"/>
    <w:multiLevelType w:val="hybridMultilevel"/>
    <w:lvl w:ilvl="0">
      <w:lvlJc w:val="left"/>
      <w:lvlText w:val="(%1)"/>
      <w:numFmt w:val="lowerLetter"/>
      <w:start w:val="38"/>
    </w:lvl>
  </w:abstractNum>
  <w:abstractNum w:abstractNumId="21">
    <w:nsid w:val="4F4EF005"/>
    <w:multiLevelType w:val="hybridMultilevel"/>
    <w:lvl w:ilvl="0">
      <w:lvlJc w:val="left"/>
      <w:lvlText w:val="(%1)"/>
      <w:numFmt w:val="lowerLetter"/>
      <w:start w:val="1"/>
    </w:lvl>
  </w:abstractNum>
  <w:abstractNum w:abstractNumId="22">
    <w:nsid w:val="23F9C13C"/>
    <w:multiLevelType w:val="hybridMultilevel"/>
    <w:lvl w:ilvl="0">
      <w:lvlJc w:val="left"/>
      <w:lvlText w:val="%1"/>
      <w:numFmt w:val="lowerRoman"/>
      <w:start w:val="1"/>
    </w:lvl>
    <w:lvl w:ilvl="1">
      <w:lvlJc w:val="left"/>
      <w:lvlText w:val="(%2)"/>
      <w:numFmt w:val="lowerLetter"/>
      <w:start w:val="5"/>
    </w:lvl>
    <w:lvl w:ilvl="2">
      <w:lvlJc w:val="left"/>
      <w:lvlText w:val="(%3)"/>
      <w:numFmt w:val="lowerRoman"/>
      <w:start w:val="1"/>
    </w:lvl>
  </w:abstractNum>
  <w:abstractNum w:abstractNumId="23">
    <w:nsid w:val="649BB77C"/>
    <w:multiLevelType w:val="hybridMultilevel"/>
    <w:lvl w:ilvl="0">
      <w:lvlJc w:val="left"/>
      <w:lvlText w:val="(%1)"/>
      <w:numFmt w:val="lowerRoman"/>
      <w:start w:val="4"/>
    </w:lvl>
    <w:lvl w:ilvl="1">
      <w:lvlJc w:val="left"/>
      <w:lvlText w:val="(%2)"/>
      <w:numFmt w:val="lowerLetter"/>
      <w:start w:val="7"/>
    </w:lvl>
    <w:lvl w:ilvl="2">
      <w:lvlJc w:val="left"/>
      <w:lvlText w:val="(%3)"/>
      <w:numFmt w:val="lowerRoman"/>
      <w:start w:val="2"/>
    </w:lvl>
  </w:abstractNum>
  <w:abstractNum w:abstractNumId="24">
    <w:nsid w:val="275AC794"/>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5">
    <w:nsid w:val="39386575"/>
    <w:multiLevelType w:val="hybridMultilevel"/>
    <w:lvl w:ilvl="0">
      <w:lvlJc w:val="left"/>
      <w:lvlText w:val="(%1)"/>
      <w:numFmt w:val="lowerLetter"/>
      <w:start w:val="9"/>
    </w:lvl>
  </w:abstractNum>
  <w:abstractNum w:abstractNumId="26">
    <w:nsid w:val="1CF10FD8"/>
    <w:multiLevelType w:val="hybridMultilevel"/>
    <w:lvl w:ilvl="0">
      <w:lvlJc w:val="left"/>
      <w:lvlText w:val="%1"/>
      <w:numFmt w:val="upperLetter"/>
      <w:start w:val="1"/>
    </w:lvl>
    <w:lvl w:ilvl="1">
      <w:lvlJc w:val="left"/>
      <w:lvlText w:val="(%2)"/>
      <w:numFmt w:val="lowerLetter"/>
      <w:start w:val="16"/>
    </w:lvl>
  </w:abstractNum>
  <w:abstractNum w:abstractNumId="27">
    <w:nsid w:val="180115BE"/>
    <w:multiLevelType w:val="hybridMultilevel"/>
    <w:lvl w:ilvl="0">
      <w:lvlJc w:val="left"/>
      <w:lvlText w:val="(%1)"/>
      <w:numFmt w:val="upperLetter"/>
      <w:start w:val="1"/>
    </w:lvl>
    <w:lvl w:ilvl="1">
      <w:lvlJc w:val="left"/>
      <w:lvlText w:val="(%2)"/>
      <w:numFmt w:val="lowerLetter"/>
      <w:start w:val="19"/>
    </w:lvl>
  </w:abstractNum>
  <w:abstractNum w:abstractNumId="28">
    <w:nsid w:val="235BA861"/>
    <w:multiLevelType w:val="hybridMultilevel"/>
    <w:lvl w:ilvl="0">
      <w:lvlJc w:val="left"/>
      <w:lvlText w:val="(%1)"/>
      <w:numFmt w:val="lowerLetter"/>
      <w:start w:val="21"/>
    </w:lvl>
  </w:abstractNum>
  <w:abstractNum w:abstractNumId="29">
    <w:nsid w:val="47398C89"/>
    <w:multiLevelType w:val="hybridMultilevel"/>
    <w:lvl w:ilvl="0">
      <w:lvlJc w:val="left"/>
      <w:lvlText w:val="(%1)"/>
      <w:numFmt w:val="lowerLetter"/>
      <w:start w:val="1"/>
    </w:lvl>
  </w:abstractNum>
  <w:abstractNum w:abstractNumId="30">
    <w:nsid w:val="354FE9F9"/>
    <w:multiLevelType w:val="hybridMultilevel"/>
    <w:lvl w:ilvl="0">
      <w:lvlJc w:val="left"/>
      <w:lvlText w:val="(%1)"/>
      <w:numFmt w:val="lowerLetter"/>
      <w:start w:val="2"/>
    </w:lvl>
  </w:abstractNum>
  <w:abstractNum w:abstractNumId="31">
    <w:nsid w:val="15B5AF5C"/>
    <w:multiLevelType w:val="hybridMultilevel"/>
    <w:lvl w:ilvl="0">
      <w:lvlJc w:val="left"/>
      <w:lvlText w:val="%1"/>
      <w:numFmt w:val="lowerLetter"/>
      <w:start w:val="1"/>
    </w:lvl>
    <w:lvl w:ilvl="1">
      <w:lvlJc w:val="left"/>
      <w:lvlText w:val="(%2)"/>
      <w:numFmt w:val="lowerLetter"/>
      <w:start w:val="3"/>
    </w:lvl>
  </w:abstractNum>
  <w:abstractNum w:abstractNumId="32">
    <w:nsid w:val="741226BB"/>
    <w:multiLevelType w:val="hybridMultilevel"/>
    <w:lvl w:ilvl="0">
      <w:lvlJc w:val="left"/>
      <w:lvlText w:val="(%1)"/>
      <w:numFmt w:val="lowerLetter"/>
      <w:start w:val="61"/>
    </w:lvl>
    <w:lvl w:ilvl="1">
      <w:lvlJc w:val="left"/>
      <w:lvlText w:val="(%2)"/>
      <w:numFmt w:val="lowerLetter"/>
      <w:start w:val="4"/>
    </w:lvl>
  </w:abstractNum>
  <w:abstractNum w:abstractNumId="33">
    <w:nsid w:val="D34B6A8"/>
    <w:multiLevelType w:val="hybridMultilevel"/>
    <w:lvl w:ilvl="0">
      <w:lvlJc w:val="left"/>
      <w:lvlText w:val="(%1)"/>
      <w:numFmt w:val="lowerRoman"/>
      <w:start w:val="3"/>
    </w:lvl>
  </w:abstractNum>
  <w:abstractNum w:abstractNumId="34">
    <w:nsid w:val="10233C99"/>
    <w:multiLevelType w:val="hybridMultilevel"/>
    <w:lvl w:ilvl="0">
      <w:lvlJc w:val="left"/>
      <w:lvlText w:val="(%1)"/>
      <w:numFmt w:val="lowerLetter"/>
      <w:start w:val="1"/>
    </w:lvl>
  </w:abstractNum>
  <w:abstractNum w:abstractNumId="35">
    <w:nsid w:val="3F6AB60F"/>
    <w:multiLevelType w:val="hybridMultilevel"/>
    <w:lvl w:ilvl="0">
      <w:lvlJc w:val="left"/>
      <w:lvlText w:val="(%1)"/>
      <w:numFmt w:val="lowerLetter"/>
      <w:start w:val="8"/>
    </w:lvl>
  </w:abstractNum>
  <w:abstractNum w:abstractNumId="36">
    <w:nsid w:val="61574095"/>
    <w:multiLevelType w:val="hybridMultilevel"/>
    <w:lvl w:ilvl="0">
      <w:lvlJc w:val="left"/>
      <w:lvlText w:val="(%1)"/>
      <w:numFmt w:val="lowerLetter"/>
      <w:start w:val="1"/>
    </w:lvl>
  </w:abstractNum>
  <w:abstractNum w:abstractNumId="37">
    <w:nsid w:val="7E0C57B1"/>
    <w:multiLevelType w:val="hybridMultilevel"/>
    <w:lvl w:ilvl="0">
      <w:lvlJc w:val="left"/>
      <w:lvlText w:val="%1:"/>
      <w:numFmt w:val="upperLetter"/>
      <w:start w:val="1"/>
    </w:lvl>
  </w:abstractNum>
  <w:abstractNum w:abstractNumId="38">
    <w:nsid w:val="77AE35EB"/>
    <w:multiLevelType w:val="hybridMultilevel"/>
    <w:lvl w:ilvl="0">
      <w:lvlJc w:val="left"/>
      <w:lvlText w:val="%1:"/>
      <w:numFmt w:val="upperLetter"/>
      <w:start w:val="4"/>
    </w:lvl>
  </w:abstractNum>
  <w:abstractNum w:abstractNumId="39">
    <w:nsid w:val="579BE4F1"/>
    <w:multiLevelType w:val="hybridMultilevel"/>
    <w:lvl w:ilvl="0">
      <w:lvlJc w:val="left"/>
      <w:lvlText w:val="%1."/>
      <w:numFmt w:val="upperLetter"/>
      <w:start w:val="1"/>
    </w:lvl>
    <w:lvl w:ilvl="1">
      <w:lvlJc w:val="left"/>
      <w:lvlText w:val="%2."/>
      <w:numFmt w:val="decimal"/>
      <w:start w:val="1"/>
    </w:lvl>
  </w:abstractNum>
  <w:abstractNum w:abstractNumId="40">
    <w:nsid w:val="310C50B3"/>
    <w:multiLevelType w:val="hybridMultilevel"/>
    <w:lvl w:ilvl="0">
      <w:lvlJc w:val="left"/>
      <w:lvlText w:val="%1."/>
      <w:numFmt w:val="decimal"/>
      <w:start w:val="4"/>
    </w:lvl>
  </w:abstractNum>
  <w:abstractNum w:abstractNumId="41">
    <w:nsid w:val="5FF87E05"/>
    <w:multiLevelType w:val="hybridMultilevel"/>
    <w:lvl w:ilvl="0">
      <w:lvlJc w:val="left"/>
      <w:lvlText w:val="%1."/>
      <w:numFmt w:val="upperLetter"/>
      <w:start w:val="2"/>
    </w:lvl>
  </w:abstractNum>
  <w:abstractNum w:abstractNumId="42">
    <w:nsid w:val="2F305DEF"/>
    <w:multiLevelType w:val="hybridMultilevel"/>
    <w:lvl w:ilvl="0">
      <w:lvlJc w:val="left"/>
      <w:lvlText w:val="%1."/>
      <w:numFmt w:val="upperLetter"/>
      <w:start w:val="1"/>
    </w:lvl>
  </w:abstractNum>
  <w:abstractNum w:abstractNumId="43">
    <w:nsid w:val="25A70BF7"/>
    <w:multiLevelType w:val="hybridMultilevel"/>
    <w:lvl w:ilvl="0">
      <w:lvlJc w:val="left"/>
      <w:lvlText w:val="%1."/>
      <w:numFmt w:val="upperLetter"/>
      <w:start w:val="2"/>
    </w:lvl>
  </w:abstractNum>
  <w:abstractNum w:abstractNumId="44">
    <w:nsid w:val="1DBABF00"/>
    <w:multiLevelType w:val="hybridMultilevel"/>
    <w:lvl w:ilvl="0">
      <w:lvlJc w:val="left"/>
      <w:lvlText w:val="%1."/>
      <w:numFmt w:val="upperLetter"/>
      <w:start w:val="3"/>
    </w:lvl>
  </w:abstractNum>
  <w:abstractNum w:abstractNumId="45">
    <w:nsid w:val="4AD084E9"/>
    <w:multiLevelType w:val="hybridMultilevel"/>
    <w:lvl w:ilvl="0">
      <w:lvlJc w:val="left"/>
      <w:lvlText w:val="%1."/>
      <w:numFmt w:val="decimal"/>
      <w:start w:val="1"/>
    </w:lvl>
  </w:abstractNum>
  <w:abstractNum w:abstractNumId="46">
    <w:nsid w:val="1F48EAA1"/>
    <w:multiLevelType w:val="hybridMultilevel"/>
    <w:lvl w:ilvl="0">
      <w:lvlJc w:val="left"/>
      <w:lvlText w:val="(%1)"/>
      <w:numFmt w:val="decimal"/>
      <w:start w:val="1"/>
    </w:lvl>
    <w:lvl w:ilvl="1">
      <w:lvlJc w:val="left"/>
      <w:lvlText w:val="☐"/>
      <w:numFmt w:val="bullet"/>
      <w:start w:val="1"/>
    </w:lvl>
  </w:abstractNum>
  <w:abstractNum w:abstractNumId="47">
    <w:nsid w:val="1381823A"/>
    <w:multiLevelType w:val="hybridMultilevel"/>
    <w:lvl w:ilvl="0">
      <w:lvlJc w:val="left"/>
      <w:lvlText w:val="%1."/>
      <w:numFmt w:val="decimal"/>
      <w:start w:val="1"/>
    </w:lvl>
  </w:abstractNum>
  <w:abstractNum w:abstractNumId="48">
    <w:nsid w:val="5DB70AE5"/>
    <w:multiLevelType w:val="hybridMultilevel"/>
    <w:lvl w:ilvl="0">
      <w:lvlJc w:val="left"/>
      <w:lvlText w:val="%1."/>
      <w:numFmt w:val="decimal"/>
      <w:start w:val="1"/>
    </w:lvl>
  </w:abstractNum>
  <w:abstractNum w:abstractNumId="49">
    <w:nsid w:val="100F8FCA"/>
    <w:multiLevelType w:val="hybridMultilevel"/>
    <w:lvl w:ilvl="0">
      <w:lvlJc w:val="left"/>
      <w:lvlText w:val="%1."/>
      <w:numFmt w:val="decimal"/>
      <w:start w:val="1"/>
    </w:lvl>
    <w:lvl w:ilvl="1">
      <w:lvlJc w:val="left"/>
      <w:lvlText w:val="%2."/>
      <w:numFmt w:val="lowerLetter"/>
      <w:start w:val="1"/>
    </w:lvl>
  </w:abstractNum>
  <w:abstractNum w:abstractNumId="50">
    <w:nsid w:val="6590700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51">
    <w:nsid w:val="15014AC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2">
    <w:nsid w:val="5F5E7FD0"/>
    <w:multiLevelType w:val="hybridMultilevel"/>
    <w:lvl w:ilvl="0">
      <w:lvlJc w:val="left"/>
      <w:lvlText w:val="(%1)"/>
      <w:numFmt w:val="decimal"/>
      <w:start w:val="60"/>
    </w:lvl>
    <w:lvl w:ilvl="1">
      <w:lvlJc w:val="left"/>
      <w:lvlText w:val="%2"/>
      <w:numFmt w:val="lowerLetter"/>
      <w:start w:val="1"/>
    </w:lvl>
    <w:lvl w:ilvl="2">
      <w:lvlJc w:val="left"/>
      <w:lvlText w:val="%3."/>
      <w:numFmt w:val="lowerRoman"/>
      <w:start w:val="3"/>
    </w:lvl>
  </w:abstractNum>
  <w:abstractNum w:abstractNumId="53">
    <w:nsid w:val="98A3148"/>
    <w:multiLevelType w:val="hybridMultilevel"/>
    <w:lvl w:ilvl="0">
      <w:lvlJc w:val="left"/>
      <w:lvlText w:val="%1"/>
      <w:numFmt w:val="decimal"/>
      <w:start w:val="1"/>
    </w:lvl>
    <w:lvl w:ilvl="1">
      <w:lvlJc w:val="left"/>
      <w:lvlText w:val="%2."/>
      <w:numFmt w:val="lowerRoman"/>
      <w:start w:val="2"/>
    </w:lvl>
  </w:abstractNum>
  <w:abstractNum w:abstractNumId="54">
    <w:nsid w:val="799D0247"/>
    <w:multiLevelType w:val="hybridMultilevel"/>
    <w:lvl w:ilvl="0">
      <w:lvlJc w:val="left"/>
      <w:lvlText w:val="(%1)"/>
      <w:numFmt w:val="decimal"/>
      <w:start w:val="10"/>
    </w:lvl>
    <w:lvl w:ilvl="1">
      <w:lvlJc w:val="left"/>
      <w:lvlText w:val="%2"/>
      <w:numFmt w:val="lowerRoman"/>
      <w:start w:val="1"/>
    </w:lvl>
  </w:abstractNum>
  <w:abstractNum w:abstractNumId="55">
    <w:nsid w:val="6B94764"/>
    <w:multiLevelType w:val="hybridMultilevel"/>
    <w:lvl w:ilvl="0">
      <w:lvlJc w:val="left"/>
      <w:lvlText w:val="%1"/>
      <w:numFmt w:val="lowerLetter"/>
      <w:start w:val="1"/>
    </w:lvl>
    <w:lvl w:ilvl="1">
      <w:lvlJc w:val="left"/>
      <w:lvlText w:val="%2."/>
      <w:numFmt w:val="lowerRoman"/>
      <w:start w:val="4"/>
    </w:lvl>
  </w:abstractNum>
  <w:abstractNum w:abstractNumId="56">
    <w:nsid w:val="42C296BD"/>
    <w:multiLevelType w:val="hybridMultilevel"/>
    <w:lvl w:ilvl="0">
      <w:lvlJc w:val="left"/>
      <w:lvlText w:val="%1."/>
      <w:numFmt w:val="lowerLetter"/>
      <w:start w:val="6"/>
    </w:lvl>
    <w:lvl w:ilvl="1">
      <w:lvlJc w:val="left"/>
      <w:lvlText w:val="%2"/>
      <w:numFmt w:val="lowerRoman"/>
      <w:start w:val="1"/>
    </w:lvl>
  </w:abstractNum>
  <w:abstractNum w:abstractNumId="57">
    <w:nsid w:val="168E121F"/>
    <w:multiLevelType w:val="hybridMultilevel"/>
    <w:lvl w:ilvl="0">
      <w:lvlJc w:val="left"/>
      <w:lvlText w:val="%1"/>
      <w:numFmt w:val="lowerRoman"/>
      <w:start w:val="1"/>
    </w:lvl>
    <w:lvl w:ilvl="1">
      <w:lvlJc w:val="left"/>
      <w:lvlText w:val="%2."/>
      <w:numFmt w:val="decimal"/>
      <w:start w:val="3"/>
    </w:lvl>
    <w:lvl w:ilvl="2">
      <w:lvlJc w:val="left"/>
      <w:lvlText w:val="%3."/>
      <w:numFmt w:val="lowerLetter"/>
      <w:start w:val="1"/>
    </w:lvl>
  </w:abstractNum>
  <w:abstractNum w:abstractNumId="58">
    <w:nsid w:val="1EBA5D23"/>
    <w:multiLevelType w:val="hybridMultilevel"/>
    <w:lvl w:ilvl="0">
      <w:lvlJc w:val="left"/>
      <w:lvlText w:val="(%1)"/>
      <w:numFmt w:val="lowerRoman"/>
      <w:start w:val="3"/>
    </w:lvl>
    <w:lvl w:ilvl="1">
      <w:lvlJc w:val="left"/>
      <w:lvlText w:val="%2"/>
      <w:numFmt w:val="decimal"/>
      <w:start w:val="1"/>
    </w:lvl>
    <w:lvl w:ilvl="2">
      <w:lvlJc w:val="left"/>
      <w:lvlText w:val="%3."/>
      <w:numFmt w:val="lowerLetter"/>
      <w:start w:val="2"/>
    </w:lvl>
  </w:abstractNum>
  <w:abstractNum w:abstractNumId="59">
    <w:nsid w:val="661E3F1E"/>
    <w:multiLevelType w:val="hybridMultilevel"/>
    <w:lvl w:ilvl="0">
      <w:lvlJc w:val="left"/>
      <w:lvlText w:val="(%1)"/>
      <w:numFmt w:val="lowerRoman"/>
      <w:start w:val="1"/>
    </w:lvl>
    <w:lvl w:ilvl="1">
      <w:lvlJc w:val="left"/>
      <w:lvlText w:val="%2."/>
      <w:numFmt w:val="lowerLetter"/>
      <w:start w:val="5"/>
    </w:lvl>
  </w:abstractNum>
  <w:abstractNum w:abstractNumId="60">
    <w:nsid w:val="5DC79EA8"/>
    <w:multiLevelType w:val="hybridMultilevel"/>
    <w:lvl w:ilvl="0">
      <w:lvlJc w:val="left"/>
      <w:lvlText w:val="%1."/>
      <w:numFmt w:val="decimal"/>
      <w:start w:val="4"/>
    </w:lvl>
  </w:abstractNum>
  <w:abstractNum w:abstractNumId="61">
    <w:nsid w:val="540A471C"/>
    <w:multiLevelType w:val="hybridMultilevel"/>
    <w:lvl w:ilvl="0">
      <w:lvlJc w:val="left"/>
      <w:lvlText w:val="%1."/>
      <w:numFmt w:val="decimal"/>
      <w:start w:val="5"/>
    </w:lvl>
    <w:lvl w:ilvl="1">
      <w:lvlJc w:val="left"/>
      <w:lvlText w:val="%2"/>
      <w:numFmt w:val="lowerLetter"/>
      <w:start w:val="1"/>
    </w:lvl>
  </w:abstractNum>
  <w:abstractNum w:abstractNumId="62">
    <w:nsid w:val="7BD3EE7B"/>
    <w:multiLevelType w:val="hybridMultilevel"/>
    <w:lvl w:ilvl="0">
      <w:lvlJc w:val="left"/>
      <w:lvlText w:val="%1."/>
      <w:numFmt w:val="decimal"/>
      <w:start w:val="6"/>
    </w:lvl>
    <w:lvl w:ilvl="1">
      <w:lvlJc w:val="left"/>
      <w:lvlText w:val="%2."/>
      <w:numFmt w:val="lowerLetter"/>
      <w:start w:val="1"/>
    </w:lvl>
  </w:abstractNum>
  <w:abstractNum w:abstractNumId="63">
    <w:nsid w:val="51D9C564"/>
    <w:multiLevelType w:val="hybridMultilevel"/>
    <w:lvl w:ilvl="0">
      <w:lvlJc w:val="left"/>
      <w:lvlText w:val="%1."/>
      <w:numFmt w:val="decimal"/>
      <w:start w:val="7"/>
    </w:lvl>
    <w:lvl w:ilvl="1">
      <w:lvlJc w:val="left"/>
      <w:lvlText w:val="%2"/>
      <w:numFmt w:val="lowerLetter"/>
      <w:start w:val="1"/>
    </w:lvl>
  </w:abstractNum>
  <w:abstractNum w:abstractNumId="64">
    <w:nsid w:val="613EFDC5"/>
    <w:multiLevelType w:val="hybridMultilevel"/>
    <w:lvl w:ilvl="0">
      <w:lvlJc w:val="left"/>
      <w:lvlText w:val="•"/>
      <w:numFmt w:val="bullet"/>
      <w:start w:val="1"/>
    </w:lvl>
  </w:abstractNum>
  <w:abstractNum w:abstractNumId="65">
    <w:nsid w:val="BF72B14"/>
    <w:multiLevelType w:val="hybridMultilevel"/>
    <w:lvl w:ilvl="0">
      <w:lvlJc w:val="left"/>
      <w:lvlText w:val="%1."/>
      <w:numFmt w:val="decimal"/>
      <w:start w:val="1"/>
    </w:lvl>
    <w:lvl w:ilvl="1">
      <w:lvlJc w:val="left"/>
      <w:lvlText w:val="(%2)"/>
      <w:numFmt w:val="lowerLetter"/>
      <w:start w:val="1"/>
    </w:lvl>
  </w:abstractNum>
  <w:abstractNum w:abstractNumId="66">
    <w:nsid w:val="11447B73"/>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67">
    <w:nsid w:val="42963E5A"/>
    <w:multiLevelType w:val="hybridMultilevel"/>
    <w:lvl w:ilvl="0">
      <w:lvlJc w:val="left"/>
      <w:lvlText w:val="(%1)"/>
      <w:numFmt w:val="lowerLetter"/>
      <w:start w:val="2"/>
    </w:lvl>
  </w:abstractNum>
  <w:abstractNum w:abstractNumId="68">
    <w:nsid w:val="A0382C5"/>
    <w:multiLevelType w:val="hybridMultilevel"/>
    <w:lvl w:ilvl="0">
      <w:lvlJc w:val="left"/>
      <w:lvlText w:val="(%1)"/>
      <w:numFmt w:val="lowerLetter"/>
      <w:start w:val="3"/>
    </w:lvl>
  </w:abstractNum>
  <w:abstractNum w:abstractNumId="69">
    <w:nsid w:val="8F2B15E"/>
    <w:multiLevelType w:val="hybridMultilevel"/>
    <w:lvl w:ilvl="0">
      <w:lvlJc w:val="left"/>
      <w:lvlText w:val="(%1)"/>
      <w:numFmt w:val="lowerLetter"/>
      <w:start w:val="4"/>
    </w:lvl>
  </w:abstractNum>
  <w:abstractNum w:abstractNumId="70">
    <w:nsid w:val="1A32234B"/>
    <w:multiLevelType w:val="hybridMultilevel"/>
    <w:lvl w:ilvl="0">
      <w:lvlJc w:val="left"/>
      <w:lvlText w:val="%1."/>
      <w:numFmt w:val="decimal"/>
      <w:start w:val="1"/>
    </w:lvl>
    <w:lvl w:ilvl="1">
      <w:lvlJc w:val="left"/>
      <w:lvlText w:val="%2."/>
      <w:numFmt w:val="lowerLetter"/>
      <w:start w:val="1"/>
    </w:lvl>
  </w:abstractNum>
  <w:abstractNum w:abstractNumId="71">
    <w:nsid w:val="3B0FD379"/>
    <w:multiLevelType w:val="hybridMultilevel"/>
    <w:lvl w:ilvl="0">
      <w:lvlJc w:val="left"/>
      <w:lvlText w:val="(%1)"/>
      <w:numFmt w:val="decimal"/>
      <w:start w:val="2"/>
    </w:lvl>
  </w:abstractNum>
  <w:abstractNum w:abstractNumId="72">
    <w:nsid w:val="68EB2F63"/>
    <w:multiLevelType w:val="hybridMultilevel"/>
    <w:lvl w:ilvl="0">
      <w:lvlJc w:val="left"/>
      <w:lvlText w:val="%1."/>
      <w:numFmt w:val="decimal"/>
      <w:start w:val="5"/>
    </w:lvl>
    <w:lvl w:ilvl="1">
      <w:lvlJc w:val="left"/>
      <w:lvlText w:val="%2."/>
      <w:numFmt w:val="lowerLetter"/>
      <w:start w:val="1"/>
    </w:lvl>
  </w:abstractNum>
  <w:abstractNum w:abstractNumId="73">
    <w:nsid w:val="4962813B"/>
    <w:multiLevelType w:val="hybridMultilevel"/>
    <w:lvl w:ilvl="0">
      <w:lvlJc w:val="left"/>
      <w:lvlText w:val="%1."/>
      <w:numFmt w:val="decimal"/>
      <w:start w:val="6"/>
    </w:lvl>
  </w:abstractNum>
  <w:abstractNum w:abstractNumId="74">
    <w:nsid w:val="60B6DF70"/>
    <w:multiLevelType w:val="hybridMultilevel"/>
    <w:lvl w:ilvl="0">
      <w:lvlJc w:val="left"/>
      <w:lvlText w:val="%1."/>
      <w:numFmt w:val="decimal"/>
      <w:start w:val="9"/>
    </w:lvl>
    <w:lvl w:ilvl="1">
      <w:lvlJc w:val="left"/>
      <w:lvlText w:val="%2."/>
      <w:numFmt w:val="lowerLetter"/>
      <w:start w:val="1"/>
    </w:lvl>
  </w:abstractNum>
  <w:abstractNum w:abstractNumId="75">
    <w:nsid w:val="6A5EE64"/>
    <w:multiLevelType w:val="hybridMultilevel"/>
    <w:lvl w:ilvl="0">
      <w:lvlJc w:val="left"/>
      <w:lvlText w:val="%1."/>
      <w:numFmt w:val="decimal"/>
      <w:start w:val="10"/>
    </w:lvl>
  </w:abstractNum>
  <w:abstractNum w:abstractNumId="76">
    <w:nsid w:val="14330624"/>
    <w:multiLevelType w:val="hybridMultilevel"/>
    <w:lvl w:ilvl="0">
      <w:lvlJc w:val="left"/>
      <w:lvlText w:val="%1."/>
      <w:numFmt w:val="decimal"/>
      <w:start w:val="11"/>
    </w:lvl>
    <w:lvl w:ilvl="1">
      <w:lvlJc w:val="left"/>
      <w:lvlText w:val="%2"/>
      <w:numFmt w:val="lowerLetter"/>
      <w:start w:val="1"/>
    </w:lvl>
  </w:abstractNum>
  <w:abstractNum w:abstractNumId="77">
    <w:nsid w:val="7FFFCA11"/>
    <w:multiLevelType w:val="hybridMultilevel"/>
    <w:lvl w:ilvl="0">
      <w:lvlJc w:val="left"/>
      <w:lvlText w:val="%1."/>
      <w:numFmt w:val="decimal"/>
      <w:start w:val="13"/>
    </w:lvl>
    <w:lvl w:ilvl="1">
      <w:lvlJc w:val="left"/>
      <w:lvlText w:val="%2"/>
      <w:numFmt w:val="lowerLetter"/>
      <w:start w:val="1"/>
    </w:lvl>
  </w:abstractNum>
  <w:abstractNum w:abstractNumId="78">
    <w:nsid w:val="1A27709E"/>
    <w:multiLevelType w:val="hybridMultilevel"/>
    <w:lvl w:ilvl="0">
      <w:lvlJc w:val="left"/>
      <w:lvlText w:val="%1"/>
      <w:numFmt w:val="lowerLetter"/>
      <w:start w:val="1"/>
    </w:lvl>
    <w:lvl w:ilvl="1">
      <w:lvlJc w:val="left"/>
      <w:lvlText w:val="%2."/>
      <w:numFmt w:val="lowerLetter"/>
      <w:start w:val="35"/>
    </w:lvl>
  </w:abstractNum>
  <w:abstractNum w:abstractNumId="79">
    <w:nsid w:val="71EA1109"/>
    <w:multiLevelType w:val="hybridMultilevel"/>
    <w:lvl w:ilvl="0">
      <w:lvlJc w:val="left"/>
      <w:lvlText w:val="%1."/>
      <w:numFmt w:val="lowerLetter"/>
      <w:start w:val="3"/>
    </w:lvl>
    <w:lvl w:ilvl="1">
      <w:lvlJc w:val="left"/>
      <w:lvlText w:val="%2"/>
      <w:numFmt w:val="lowerLetter"/>
      <w:start w:val="1"/>
    </w:lvl>
  </w:abstractNum>
  <w:abstractNum w:abstractNumId="80">
    <w:nsid w:val="100F59DC"/>
    <w:multiLevelType w:val="hybridMultilevel"/>
    <w:lvl w:ilvl="0">
      <w:lvlJc w:val="left"/>
      <w:lvlText w:val="(%1)"/>
      <w:numFmt w:val="decimal"/>
      <w:start w:val="1"/>
    </w:lvl>
  </w:abstractNum>
  <w:abstractNum w:abstractNumId="81">
    <w:nsid w:val="7FB7E0AA"/>
    <w:multiLevelType w:val="hybridMultilevel"/>
    <w:lvl w:ilvl="0">
      <w:lvlJc w:val="left"/>
      <w:lvlText w:val="☐"/>
      <w:numFmt w:val="bullet"/>
      <w:start w:val="1"/>
    </w:lvl>
  </w:abstractNum>
  <w:abstractNum w:abstractNumId="82">
    <w:nsid w:val="6EB5BD4"/>
    <w:multiLevelType w:val="hybridMultilevel"/>
    <w:lvl w:ilvl="0">
      <w:lvlJc w:val="left"/>
      <w:lvlText w:val="(%1)"/>
      <w:numFmt w:val="decimal"/>
      <w:start w:val="4"/>
    </w:lvl>
  </w:abstractNum>
  <w:abstractNum w:abstractNumId="83">
    <w:nsid w:val="6F6DD9AC"/>
    <w:multiLevelType w:val="hybridMultilevel"/>
    <w:lvl w:ilvl="0">
      <w:lvlJc w:val="left"/>
      <w:lvlText w:val="(%1)"/>
      <w:numFmt w:val="lowerLetter"/>
      <w:start w:val="1"/>
    </w:lvl>
  </w:abstractNum>
  <w:abstractNum w:abstractNumId="84">
    <w:nsid w:val="94211F2"/>
    <w:multiLevelType w:val="hybridMultilevel"/>
    <w:lvl w:ilvl="0">
      <w:lvlJc w:val="left"/>
      <w:lvlText w:val="•"/>
      <w:numFmt w:val="bullet"/>
      <w:start w:val="1"/>
    </w:lvl>
  </w:abstractNum>
  <w:abstractNum w:abstractNumId="85">
    <w:nsid w:val="885E1B"/>
    <w:multiLevelType w:val="hybridMultilevel"/>
    <w:lvl w:ilvl="0">
      <w:lvlJc w:val="left"/>
      <w:lvlText w:val="(%1)"/>
      <w:numFmt w:val="decimal"/>
      <w:start w:val="604"/>
    </w:lvl>
  </w:abstractNum>
  <w:abstractNum w:abstractNumId="86">
    <w:nsid w:val="76272110"/>
    <w:multiLevelType w:val="hybridMultilevel"/>
    <w:lvl w:ilvl="0">
      <w:lvlJc w:val="left"/>
      <w:lvlText w:val="(%1)"/>
      <w:numFmt w:val="decimal"/>
      <w:start w:val="60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2023-12-26T07:18:42Z</dcterms:created>
  <dcterms:modified xsi:type="dcterms:W3CDTF">2023-12-26T07:18:42Z</dcterms:modified>
</cp:coreProperties>
</file>