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333-259970-01</w:t>
      </w:r>
    </w:p>
    <w:p>
      <w:pPr>
        <w:spacing w:after="0" w:line="35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(To prospectus dated October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1153795</wp:posOffset>
            </wp:positionH>
            <wp:positionV relativeFrom="paragraph">
              <wp:posOffset>160020</wp:posOffset>
            </wp:positionV>
            <wp:extent cx="4834890" cy="17487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34890" cy="1748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Zymeworks Inc.</w:t>
      </w:r>
    </w:p>
    <w:p>
      <w:pPr>
        <w:spacing w:after="0" w:line="2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Up to $150,000,000</w:t>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255905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jc w:val="both"/>
        <w:ind w:left="120" w:right="20"/>
        <w:spacing w:after="0" w:line="275" w:lineRule="auto"/>
        <w:rPr>
          <w:sz w:val="20"/>
          <w:szCs w:val="20"/>
          <w:color w:val="auto"/>
        </w:rPr>
      </w:pPr>
      <w:r>
        <w:rPr>
          <w:rFonts w:ascii="Times New Roman" w:cs="Times New Roman" w:eastAsia="Times New Roman" w:hAnsi="Times New Roman"/>
          <w:sz w:val="16"/>
          <w:szCs w:val="16"/>
          <w:color w:val="auto"/>
        </w:rPr>
        <w:t>We have entered into a sales agreement, or Sales Agreement, with Cantor Fitzgerald &amp; Co., or Cantor, dated as of November 9, 2022, relating to the sale of shares of our common stock offered by this prospectus supplement and the accompanying base shelf prospectus. In accordance with the terms of the Sales Agreement, we may offer and sell shares of our common stock, par value $0.00001 per share, having an aggregate offering price of up to $150,000,000 pursuant to this prospectus supplement from time to time through Cantor, acting as our sales agent.</w:t>
      </w:r>
    </w:p>
    <w:p>
      <w:pPr>
        <w:spacing w:after="0" w:line="183" w:lineRule="exact"/>
        <w:rPr>
          <w:sz w:val="24"/>
          <w:szCs w:val="24"/>
          <w:color w:val="auto"/>
        </w:rPr>
      </w:pPr>
    </w:p>
    <w:p>
      <w:pPr>
        <w:jc w:val="both"/>
        <w:ind w:left="120" w:right="20"/>
        <w:spacing w:after="0" w:line="298" w:lineRule="auto"/>
        <w:rPr>
          <w:sz w:val="20"/>
          <w:szCs w:val="20"/>
          <w:color w:val="auto"/>
        </w:rPr>
      </w:pPr>
      <w:r>
        <w:rPr>
          <w:rFonts w:ascii="Times New Roman" w:cs="Times New Roman" w:eastAsia="Times New Roman" w:hAnsi="Times New Roman"/>
          <w:sz w:val="16"/>
          <w:szCs w:val="16"/>
          <w:color w:val="auto"/>
        </w:rPr>
        <w:t>Our common stock is listed for trading on the New York Stock Exchange, or the NYSE, under the symbol “ZYME.” On November 8, 2022, the last reported sale price of our common stock on the NYSE was $7.63 per share.</w:t>
      </w:r>
    </w:p>
    <w:p>
      <w:pPr>
        <w:spacing w:after="0" w:line="164" w:lineRule="exact"/>
        <w:rPr>
          <w:sz w:val="24"/>
          <w:szCs w:val="24"/>
          <w:color w:val="auto"/>
        </w:rPr>
      </w:pPr>
    </w:p>
    <w:p>
      <w:pPr>
        <w:jc w:val="both"/>
        <w:ind w:left="120" w:right="20"/>
        <w:spacing w:after="0" w:line="275" w:lineRule="auto"/>
        <w:rPr>
          <w:sz w:val="20"/>
          <w:szCs w:val="20"/>
          <w:color w:val="auto"/>
        </w:rPr>
      </w:pPr>
      <w:r>
        <w:rPr>
          <w:rFonts w:ascii="Times New Roman" w:cs="Times New Roman" w:eastAsia="Times New Roman" w:hAnsi="Times New Roman"/>
          <w:sz w:val="16"/>
          <w:szCs w:val="16"/>
          <w:color w:val="auto"/>
        </w:rPr>
        <w:t>Sales of our common stock, if any, under this prospectus may be made by any method permitted that are deemed “at the market offerings” as defined in Rule 415(a)(4) under the Securities Act of 1933, as amended, or the Securities Act. Cantor is not required to sell any specific amount of our common stock, but will act as our sales agent using commercially reasonable efforts, consistent with its normal trading and sales practices on mutually agreed terms between Cantor and us. There is no arrangement for funds to be received in an escrow, trust or similar arrangement.</w:t>
      </w:r>
    </w:p>
    <w:p>
      <w:pPr>
        <w:spacing w:after="0" w:line="183" w:lineRule="exact"/>
        <w:rPr>
          <w:sz w:val="24"/>
          <w:szCs w:val="24"/>
          <w:color w:val="auto"/>
        </w:rPr>
      </w:pPr>
    </w:p>
    <w:p>
      <w:pPr>
        <w:jc w:val="both"/>
        <w:ind w:left="120" w:right="20"/>
        <w:spacing w:after="0" w:line="272" w:lineRule="auto"/>
        <w:rPr>
          <w:sz w:val="20"/>
          <w:szCs w:val="20"/>
          <w:color w:val="auto"/>
        </w:rPr>
      </w:pPr>
      <w:r>
        <w:rPr>
          <w:rFonts w:ascii="Times New Roman" w:cs="Times New Roman" w:eastAsia="Times New Roman" w:hAnsi="Times New Roman"/>
          <w:sz w:val="16"/>
          <w:szCs w:val="16"/>
          <w:color w:val="auto"/>
        </w:rPr>
        <w:t>Cantor will be entitled to compensation from us at a commission rate of up to 3.0% of the gross sales price of any shares of common stock sold through it under the Sales Agreement. In connection with the sale of common stock on our behalf, Cantor will be deemed to be an “underwriter” within the meaning of the Securities Act and the compensation of Cantor will be deemed to be underwriting commissions or discounts. We have also agreed to provide indemnification and contribution to Cantor with respect to certain liabilities, including civil liabilities under the Securities Act and the Securities Exchange Act of 1934, as amended, or the Exchange Act. See “Plan of Distribution” beginning on page S-76 for additional information regarding the compensation to be paid to Cantor.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ind w:left="120" w:right="380"/>
        <w:spacing w:after="0" w:line="300" w:lineRule="auto"/>
        <w:rPr>
          <w:sz w:val="20"/>
          <w:szCs w:val="20"/>
          <w:color w:val="auto"/>
        </w:rPr>
      </w:pPr>
      <w:r>
        <w:rPr>
          <w:rFonts w:ascii="Times New Roman" w:cs="Times New Roman" w:eastAsia="Times New Roman" w:hAnsi="Times New Roman"/>
          <w:sz w:val="19"/>
          <w:szCs w:val="19"/>
          <w:b w:val="1"/>
          <w:bCs w:val="1"/>
          <w:color w:val="auto"/>
        </w:rPr>
        <w:t>An investment in our securities involves a high degree of risk. Please read “</w:t>
      </w:r>
      <w:r>
        <w:rPr>
          <w:rFonts w:ascii="Times New Roman" w:cs="Times New Roman" w:eastAsia="Times New Roman" w:hAnsi="Times New Roman"/>
          <w:sz w:val="19"/>
          <w:szCs w:val="19"/>
          <w:b w:val="1"/>
          <w:bCs w:val="1"/>
          <w:u w:val="single" w:color="auto"/>
          <w:color w:val="0000EE"/>
        </w:rPr>
        <w:t>Risk Factors</w:t>
      </w:r>
      <w:r>
        <w:rPr>
          <w:rFonts w:ascii="Times New Roman" w:cs="Times New Roman" w:eastAsia="Times New Roman" w:hAnsi="Times New Roman"/>
          <w:sz w:val="19"/>
          <w:szCs w:val="19"/>
          <w:b w:val="1"/>
          <w:bCs w:val="1"/>
          <w:color w:val="auto"/>
        </w:rPr>
        <w:t>” on page S-13 of this prospectus supplement and in the documents incorporated by reference into this prospectus supplement before investing in our securities.</w:t>
      </w:r>
    </w:p>
    <w:p>
      <w:pPr>
        <w:spacing w:after="0" w:line="140" w:lineRule="exact"/>
        <w:rPr>
          <w:sz w:val="24"/>
          <w:szCs w:val="24"/>
          <w:color w:val="auto"/>
        </w:rPr>
      </w:pPr>
    </w:p>
    <w:p>
      <w:pPr>
        <w:ind w:left="120" w:right="38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196850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522605</wp:posOffset>
            </wp:positionV>
            <wp:extent cx="109728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214630"/>
                    </a:xfrm>
                    <a:prstGeom prst="rect">
                      <a:avLst/>
                    </a:prstGeom>
                    <a:noFill/>
                  </pic:spPr>
                </pic:pic>
              </a:graphicData>
            </a:graphic>
          </wp:anchor>
        </w:drawing>
      </w:r>
    </w:p>
    <w:p>
      <w:pPr>
        <w:sectPr>
          <w:pgSz w:w="11900" w:h="16838" w:orient="portrait"/>
          <w:cols w:equalWidth="0" w:num="1">
            <w:col w:w="11140"/>
          </w:cols>
          <w:pgMar w:left="320" w:top="22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The date of this prospectus supplement is November 9, 2022.</w:t>
      </w:r>
    </w:p>
    <w:p>
      <w:pPr>
        <w:sectPr>
          <w:pgSz w:w="11900" w:h="16838" w:orient="portrait"/>
          <w:cols w:equalWidth="0" w:num="1">
            <w:col w:w="11140"/>
          </w:cols>
          <w:pgMar w:left="320" w:top="226" w:right="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42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0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242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34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ABOUT THIS PROSPECTUS SUPPLEMENT</w:t>
            </w:r>
          </w:p>
        </w:tc>
        <w:tc>
          <w:tcPr>
            <w:tcW w:w="5100" w:type="dxa"/>
            <w:vAlign w:val="bottom"/>
            <w:gridSpan w:val="9"/>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120" w:type="dxa"/>
            <w:vAlign w:val="bottom"/>
          </w:tcPr>
          <w:p>
            <w:pPr>
              <w:spacing w:after="0"/>
              <w:rPr>
                <w:sz w:val="17"/>
                <w:szCs w:val="17"/>
                <w:color w:val="auto"/>
              </w:rPr>
            </w:pPr>
          </w:p>
        </w:tc>
        <w:tc>
          <w:tcPr>
            <w:tcW w:w="12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OFFERING</w:t>
            </w:r>
          </w:p>
        </w:tc>
        <w:tc>
          <w:tcPr>
            <w:tcW w:w="2000" w:type="dxa"/>
            <w:vAlign w:val="bottom"/>
            <w:tcBorders>
              <w:top w:val="single" w:sz="8" w:color="0000EE"/>
            </w:tcBorders>
            <w:gridSpan w:val="13"/>
          </w:tcPr>
          <w:p>
            <w:pPr>
              <w:spacing w:after="0"/>
              <w:rPr>
                <w:sz w:val="17"/>
                <w:szCs w:val="17"/>
                <w:color w:val="auto"/>
              </w:rPr>
            </w:pPr>
          </w:p>
        </w:tc>
        <w:tc>
          <w:tcPr>
            <w:tcW w:w="526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S-11</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2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S-73</w:t>
            </w:r>
          </w:p>
        </w:tc>
      </w:tr>
      <w:tr>
        <w:trPr>
          <w:trHeight w:val="196"/>
        </w:trPr>
        <w:tc>
          <w:tcPr>
            <w:tcW w:w="12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DILUTION</w:t>
            </w:r>
          </w:p>
        </w:tc>
        <w:tc>
          <w:tcPr>
            <w:tcW w:w="7680" w:type="dxa"/>
            <w:vAlign w:val="bottom"/>
            <w:gridSpan w:val="2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S-74</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S-76</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6500" w:type="dxa"/>
            <w:vAlign w:val="bottom"/>
            <w:gridSpan w:val="19"/>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S-77</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82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w:t>
            </w:r>
          </w:p>
        </w:tc>
        <w:tc>
          <w:tcPr>
            <w:tcW w:w="472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S-78</w:t>
            </w:r>
          </w:p>
        </w:tc>
      </w:tr>
      <w:tr>
        <w:trPr>
          <w:trHeight w:val="196"/>
        </w:trPr>
        <w:tc>
          <w:tcPr>
            <w:tcW w:w="120" w:type="dxa"/>
            <w:vAlign w:val="bottom"/>
          </w:tcPr>
          <w:p>
            <w:pPr>
              <w:spacing w:after="0"/>
              <w:rPr>
                <w:sz w:val="17"/>
                <w:szCs w:val="17"/>
                <w:color w:val="auto"/>
              </w:rPr>
            </w:pPr>
          </w:p>
        </w:tc>
        <w:tc>
          <w:tcPr>
            <w:tcW w:w="506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348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S-79</w:t>
            </w:r>
          </w:p>
        </w:tc>
      </w:tr>
      <w:tr>
        <w:trPr>
          <w:trHeight w:val="453"/>
        </w:trPr>
        <w:tc>
          <w:tcPr>
            <w:tcW w:w="120" w:type="dxa"/>
            <w:vAlign w:val="bottom"/>
          </w:tcPr>
          <w:p>
            <w:pPr>
              <w:spacing w:after="0"/>
              <w:rPr>
                <w:sz w:val="24"/>
                <w:szCs w:val="24"/>
                <w:color w:val="auto"/>
              </w:rPr>
            </w:pPr>
          </w:p>
        </w:tc>
        <w:tc>
          <w:tcPr>
            <w:tcW w:w="854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420" w:type="dxa"/>
            <w:vAlign w:val="bottom"/>
          </w:tcPr>
          <w:p>
            <w:pPr>
              <w:spacing w:after="0"/>
              <w:rPr>
                <w:sz w:val="24"/>
                <w:szCs w:val="24"/>
                <w:color w:val="auto"/>
              </w:rPr>
            </w:pPr>
          </w:p>
        </w:tc>
      </w:tr>
      <w:tr>
        <w:trPr>
          <w:trHeight w:val="391"/>
        </w:trPr>
        <w:tc>
          <w:tcPr>
            <w:tcW w:w="120" w:type="dxa"/>
            <w:vAlign w:val="bottom"/>
          </w:tcPr>
          <w:p>
            <w:pPr>
              <w:spacing w:after="0"/>
              <w:rPr>
                <w:sz w:val="24"/>
                <w:szCs w:val="24"/>
                <w:color w:val="auto"/>
              </w:rPr>
            </w:pPr>
          </w:p>
        </w:tc>
        <w:tc>
          <w:tcPr>
            <w:tcW w:w="22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6300" w:type="dxa"/>
            <w:vAlign w:val="bottom"/>
            <w:gridSpan w:val="17"/>
          </w:tcPr>
          <w:p>
            <w:pPr>
              <w:spacing w:after="0"/>
              <w:rPr>
                <w:sz w:val="24"/>
                <w:szCs w:val="24"/>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8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760" w:type="dxa"/>
            <w:vAlign w:val="bottom"/>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EXCHANGE RATE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1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EARNINGS COVERAGE</w:t>
            </w:r>
          </w:p>
        </w:tc>
        <w:tc>
          <w:tcPr>
            <w:tcW w:w="820" w:type="dxa"/>
            <w:vAlign w:val="bottom"/>
            <w:tcBorders>
              <w:top w:val="single" w:sz="8" w:color="0000EE"/>
            </w:tcBorders>
            <w:gridSpan w:val="7"/>
          </w:tcPr>
          <w:p>
            <w:pPr>
              <w:spacing w:after="0"/>
              <w:rPr>
                <w:sz w:val="17"/>
                <w:szCs w:val="17"/>
                <w:color w:val="auto"/>
              </w:rPr>
            </w:pPr>
          </w:p>
        </w:tc>
        <w:tc>
          <w:tcPr>
            <w:tcW w:w="578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6960" w:type="dxa"/>
            <w:vAlign w:val="bottom"/>
            <w:gridSpan w:val="2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CONSOLIDATED CAPITALIZATION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28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PRIOR SALES</w:t>
            </w:r>
          </w:p>
        </w:tc>
        <w:tc>
          <w:tcPr>
            <w:tcW w:w="568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2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MARKET FOR SECURITIES</w:t>
            </w:r>
          </w:p>
        </w:tc>
        <w:tc>
          <w:tcPr>
            <w:tcW w:w="6320" w:type="dxa"/>
            <w:vAlign w:val="bottom"/>
            <w:gridSpan w:val="1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2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02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520" w:type="dxa"/>
            <w:vAlign w:val="bottom"/>
            <w:gridSpan w:val="1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196"/>
        </w:trPr>
        <w:tc>
          <w:tcPr>
            <w:tcW w:w="120" w:type="dxa"/>
            <w:vAlign w:val="bottom"/>
          </w:tcPr>
          <w:p>
            <w:pPr>
              <w:spacing w:after="0"/>
              <w:rPr>
                <w:sz w:val="17"/>
                <w:szCs w:val="17"/>
                <w:color w:val="auto"/>
              </w:rPr>
            </w:pPr>
          </w:p>
        </w:tc>
        <w:tc>
          <w:tcPr>
            <w:tcW w:w="24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WARRANTS</w:t>
            </w:r>
          </w:p>
        </w:tc>
        <w:tc>
          <w:tcPr>
            <w:tcW w:w="6060" w:type="dxa"/>
            <w:vAlign w:val="bottom"/>
            <w:gridSpan w:val="1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SUBSCRIPTION RECEIPTS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UNITS</w:t>
            </w:r>
          </w:p>
        </w:tc>
        <w:tc>
          <w:tcPr>
            <w:tcW w:w="1620" w:type="dxa"/>
            <w:vAlign w:val="bottom"/>
            <w:tcBorders>
              <w:top w:val="single" w:sz="8" w:color="0000EE"/>
            </w:tcBorders>
            <w:gridSpan w:val="12"/>
          </w:tcPr>
          <w:p>
            <w:pPr>
              <w:spacing w:after="0"/>
              <w:rPr>
                <w:sz w:val="17"/>
                <w:szCs w:val="17"/>
                <w:color w:val="auto"/>
              </w:rPr>
            </w:pPr>
          </w:p>
        </w:tc>
        <w:tc>
          <w:tcPr>
            <w:tcW w:w="490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120" w:type="dxa"/>
            <w:vAlign w:val="bottom"/>
          </w:tcPr>
          <w:p>
            <w:pPr>
              <w:spacing w:after="0"/>
              <w:rPr>
                <w:sz w:val="17"/>
                <w:szCs w:val="17"/>
                <w:color w:val="auto"/>
              </w:rPr>
            </w:pPr>
          </w:p>
        </w:tc>
        <w:tc>
          <w:tcPr>
            <w:tcW w:w="250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604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20" w:type="dxa"/>
            <w:vAlign w:val="bottom"/>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360" w:type="dxa"/>
            <w:vAlign w:val="bottom"/>
            <w:gridSpan w:val="9"/>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CANADIAN AND U.S. FEDERAL INCOME TAX CONSIDERATIONS</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3880" w:type="dxa"/>
            <w:vAlign w:val="bottom"/>
            <w:tcBorders>
              <w:top w:val="single" w:sz="8" w:color="0000EE"/>
            </w:tcBorders>
            <w:gridSpan w:val="21"/>
          </w:tcPr>
          <w:p>
            <w:pPr>
              <w:spacing w:after="0"/>
              <w:rPr>
                <w:sz w:val="17"/>
                <w:szCs w:val="17"/>
                <w:color w:val="auto"/>
              </w:rPr>
            </w:pPr>
          </w:p>
        </w:tc>
        <w:tc>
          <w:tcPr>
            <w:tcW w:w="320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AUDITORS, TRANSFER AGENT AND REGISTRAR</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INTEREST OF EXPERTS</w:t>
            </w:r>
          </w:p>
        </w:tc>
        <w:tc>
          <w:tcPr>
            <w:tcW w:w="2100" w:type="dxa"/>
            <w:vAlign w:val="bottom"/>
            <w:tcBorders>
              <w:top w:val="single" w:sz="8" w:color="0000EE"/>
            </w:tcBorders>
            <w:gridSpan w:val="17"/>
          </w:tcPr>
          <w:p>
            <w:pPr>
              <w:spacing w:after="0"/>
              <w:rPr>
                <w:sz w:val="17"/>
                <w:szCs w:val="17"/>
                <w:color w:val="auto"/>
              </w:rPr>
            </w:pPr>
          </w:p>
        </w:tc>
        <w:tc>
          <w:tcPr>
            <w:tcW w:w="4500" w:type="dxa"/>
            <w:vAlign w:val="bottom"/>
            <w:gridSpan w:val="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390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8"/>
              </w:rPr>
              <w:t>DOCUMENTS INCORPORATED BY REFERENCE</w:t>
            </w:r>
          </w:p>
        </w:tc>
        <w:tc>
          <w:tcPr>
            <w:tcW w:w="464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196"/>
        </w:trPr>
        <w:tc>
          <w:tcPr>
            <w:tcW w:w="120" w:type="dxa"/>
            <w:vAlign w:val="bottom"/>
          </w:tcPr>
          <w:p>
            <w:pPr>
              <w:spacing w:after="0"/>
              <w:rPr>
                <w:sz w:val="17"/>
                <w:szCs w:val="17"/>
                <w:color w:val="auto"/>
              </w:rPr>
            </w:pPr>
          </w:p>
        </w:tc>
        <w:tc>
          <w:tcPr>
            <w:tcW w:w="854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196"/>
        </w:trPr>
        <w:tc>
          <w:tcPr>
            <w:tcW w:w="120" w:type="dxa"/>
            <w:vAlign w:val="bottom"/>
          </w:tcPr>
          <w:p>
            <w:pPr>
              <w:spacing w:after="0"/>
              <w:rPr>
                <w:sz w:val="17"/>
                <w:szCs w:val="17"/>
                <w:color w:val="auto"/>
              </w:rPr>
            </w:pPr>
          </w:p>
        </w:tc>
        <w:tc>
          <w:tcPr>
            <w:tcW w:w="380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4740" w:type="dxa"/>
            <w:vAlign w:val="bottom"/>
            <w:gridSpan w:val="7"/>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4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offering and the securities offered hereby, and also adds to and updates information contained in the accompanying base shelf prospectus and the documents incorporated into each by reference. The second part, the accompanying base shelf prospectus, gives more general information and disclosure. This prospectus supplement is deemed to be incorporated by reference into the accompanying base shelf prospectus solely for the purpose of this offering. When we refer only to the “prospectus,” we are referring to both parts combined.</w:t>
      </w:r>
    </w:p>
    <w:p>
      <w:pPr>
        <w:spacing w:after="0" w:line="183"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If there is any inconsistency between information in or incorporated by reference into the accompanying base shelf prospectus and information in or incorporated by reference into this prospectus supplement, you should rely only on the information contained in or incorporated by reference into this prospectus supplement. This prospectus supplement, the accompanying base shelf prospectus and the documents incorporated into each by reference include important information about us, the common stock being offered and other information you should know before investing. Before you invest in our common stock, you should read this prospectus supplement and the accompanying base shelf prospectus together with the additional information described in the sections titled “Where You Can Find More Information” and “Incorporation by Reference.”</w:t>
      </w:r>
    </w:p>
    <w:p>
      <w:pPr>
        <w:spacing w:after="0" w:line="187"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Neither we nor Cantor have authorized anyone to provide any information or to make any representations other than those contained in this prospectus supplement and the accompanying base shelf prospectus, the documents incorporated by reference herein or therein or in any free writing prospectuses prepared by us or on our behalf or to which we have referred you. We are not, and Cantor is not, making an offer to sell these securities in any jurisdiction where the offer or sale thereof is not permitted. You should assume that the information appearing in this prospectus supplement, the accompanying base shelf prospectus and the documents incorporated into each by reference is accurate only as of the respective dates of the applicable documents. Our business, financial condition, results of operations and prospects may have changed since those dates.</w:t>
      </w:r>
    </w:p>
    <w:p>
      <w:pPr>
        <w:spacing w:after="0" w:line="187"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Market data and certain industry forecasts used in this prospectus supplement, the accompanying base shelf prospectus and the documents incorporated by reference herein or therein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Unless otherwise indicated in this prospectus supplement and the accompanying base shelf prospectus all dollar amounts and references to “$” or “US$” are to U.S. dollars and references to “C$” are to Canadian dollars. This prospectus supplement, the accompanying base shelf prospectus and the documents incorporated by reference herein and therein contain translations of some Canadian dollar amounts into U.S. dollars solely for your convenience.</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this prospectus supplement, unless the context otherwise requires, all references to “we,” “us,” “our” or similar terms, as well as references to “Zymeworks” or the “Company,” (i) for periods until the completion of Redomicile Transactions (as defined below), refer to Zymeworks BC Inc., either alone or together with its wholly-owned subsidiaries, Zymeworks Biopharmaceuticals Inc., Zymeworks Pharmaceuticals Limited, Zymeworks Inc. (formerly known as Zymeworks Delaware Inc.), Zymeworks CallCo ULC, Zymeworks ExchangeCo Ltd. (“ExchangeCo”) and Zymeworks Management Inc. and (ii) for periods after the completion of Redomicile Transactions, refer to Zymeworks Inc., either alone or together with our subsidiaries, Zymeworks BC Inc., or Zymeworks BC, Zymeworks Biopharmaceuticals Inc., Zymeworks Pharmaceuticals Limited, Zymeworks CallCo ULC, ExchangeCo and Zymeworks Management Inc. In the accompanying base shelf prospectus, unless the context otherwise requires, references to “we,” “us,” “our” or similar terms, as well as references to “Zymeworks” or the “Company,” refer to Zymeworks BC Inc., either alone or together with its wholly-owned subsidiary as of the date of the base shelf prospectus, Zymeworks Biopharmaceuticals Inc. Furthermore, except as otherwise indicated, references to “Merck,” “Lilly,” “BMS,” “GSK,” “Daiichi Sankyo,” “Janssen,” “LEO,”</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“BeiGene,” “Iconic,” “Pfizer,” “Atreca” and “Jazz” refer to Merck Sharp &amp; Dohme Research GmbH, Eli Lilly and Company, Celgene Corporation and Celgene Alpine Investment Co. LLC (now a Bristol-Myers Squibb company), GlaxoSmithKline Intellectual Property Development Limited, Daiichi Sankyo Co., Ltd., Janssen Biotech, Inc., LEO Pharma A/S, BeiGene Ltd., Iconic Therapeutics, Inc., Pfizer Inc., Atreca, Inc. and Jazz Pharmaceuticals Ireland Limited, respectively.</w:t>
      </w:r>
    </w:p>
    <w:p>
      <w:pPr>
        <w:spacing w:after="0" w:line="180" w:lineRule="exact"/>
        <w:rPr>
          <w:sz w:val="20"/>
          <w:szCs w:val="20"/>
          <w:color w:val="auto"/>
        </w:rPr>
      </w:pPr>
    </w:p>
    <w:p>
      <w:pPr>
        <w:ind w:left="120"/>
        <w:spacing w:after="0" w:line="233" w:lineRule="auto"/>
        <w:rPr>
          <w:sz w:val="20"/>
          <w:szCs w:val="20"/>
          <w:color w:val="auto"/>
        </w:rPr>
      </w:pPr>
      <w:r>
        <w:rPr>
          <w:rFonts w:ascii="Times New Roman" w:cs="Times New Roman" w:eastAsia="Times New Roman" w:hAnsi="Times New Roman"/>
          <w:sz w:val="18"/>
          <w:szCs w:val="18"/>
          <w:color w:val="auto"/>
        </w:rPr>
        <w:t xml:space="preserve">The names Azymetric, Zymeworks, ZymeCAD, EFECT, ZymeLink and the phrase “Building Better Biologics” are our registered trademarks. Other trademarks, product names and company names appearing in this prospectus supplement, the accompanying base shelf prospectus and documents incorporated by reference herein and therein are the property of their respective owners. Solely for convenience, the trademarks, service marks, tradenames and copyrights referred to in this prospectus supplement are listed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TM symbols, but we will assert, to the fullest extent under applicable law, our rights or the rights of the applicable licensors to these trademarks, service marks and tradenames.</w:t>
      </w:r>
    </w:p>
    <w:p>
      <w:pPr>
        <w:spacing w:after="0" w:line="13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020"/>
          </w:cols>
          <w:pgMar w:left="320" w:top="455"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base shelf prospectus, including the documents incorporated by reference herein or therein, contain “forward-looking statements” or information within the meaning of applicable securities legislation, including Section 27A of the Securities Act of 1933, as amended, and Section 21E of the Securities Exchange Act of 1934, as amended. Forward-looking statements include statements that may relate to our plans, objectives, goals, strategies, future events, future revenue or performance, capital expenditures, financing needs and other information that is not historical information. Forward-looking statements can often be identified by the use of terminology such as “subject to,” “believe,” “anticipate,” “plan,” “expect,” “intend,” “estimate,”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forward-looking statements in this prospectus supplement, the accompanying base shelf prospectus and the documents incorporated by reference herein and therein include, but are not limited to, statements about:</w:t>
      </w:r>
    </w:p>
    <w:p>
      <w:pPr>
        <w:spacing w:after="0" w:line="100" w:lineRule="exact"/>
        <w:rPr>
          <w:sz w:val="20"/>
          <w:szCs w:val="20"/>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our ability to commercialize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advances in and expansion of our therapeutic platforms and antibody engineering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product candidate development and clinical trial progression, initiation or success;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government regulation;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and other impacts of the Redomicile Transactions.</w:t>
      </w:r>
    </w:p>
    <w:p>
      <w:pPr>
        <w:spacing w:after="0" w:line="225"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those related to our examination of historical operating trends, are based upon our current expectations and various assumptions. Certain assumptions made in preparing the forward-looking statements include:</w:t>
      </w:r>
    </w:p>
    <w:p>
      <w:pPr>
        <w:spacing w:after="0" w:line="67"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restructuring announced in January 2022 and to manage the size of our organization effectively;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adverse changes in our industry or the global economy;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and predict trends in our industry and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business relationships with our strategic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current and future regulatory standards;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compliance with third-party license terms and the non-infringement of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integrate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debt or equity financing to support our continued growth.</w:t>
      </w:r>
    </w:p>
    <w:p>
      <w:pPr>
        <w:spacing w:after="0" w:line="225"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referred to in the section titled “Risk Factors” in this prospectus supplement,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100"/>
          </w:cols>
          <w:pgMar w:left="320" w:top="455"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accompanying base shelf prospectus and in our Quarterly Report on Form 10-Q for the quarter ended September 30, 2022), could affect future performance and cause actual results to differ materially from those matters expressed in or implied by forward-looking statements:</w:t>
      </w:r>
    </w:p>
    <w:p>
      <w:pPr>
        <w:spacing w:after="0" w:line="67"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without significant delays;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value of our current or planned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with respect to the development and commercialization of our product candidates, which may cause increased costs or delay receipt of product revenue;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of our partners’ ability to enroll subjects in clinical trials and thereby complete trials on a timely basis;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our execution of clinical trials may not support regulatory approval, including where clinical trials are conducted outside the United States;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the upfront payments pursuant to the Jazz Collaboration Agreement (as defined below), which payments are contingent upon receipt of clearance relating to the United States Hart-Scott Rodino Antitrust Improvements Act of 1976 (“HSR Clearance”) and upon Jazz’s decision to continue the collaboration following its receipt of topline data from our HERIZON-BTC-01 trial;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and receive associated milestone payments pursuant to the terms of our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may be adversely affected by the COVID-19 pandemic;</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including as a result of the Russian invasion of Ukraine, and the related impact on our business and the markets generally;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benefits of the Redomicile Transactions may not materialize as expected or at all;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tax consequences in connection with the Redomicile Transactions;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resulting from the Redomicile Transactions and its potential effect on our business and market price of our common stock;</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Redomicile Transactions could be greater than expected;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Fast Track and Breakthrough Therapy designations for any of our product candidates may not expedite regulatory review 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(the “FDA”), may not accept data from trials we conduct outside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or global health concerns;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discretion to discontinue or reprioritize the development of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candidates to have undesirable side effects;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regulatory agency has made a determination that any of our product candidates are safe or effective for use by the general public or for any indication;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face significant competition, including biosimilar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broad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Orphan Drug Designation or exclusivity for some or all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products outside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reimbursement decisions by third-party payors relating to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market opportunities for any product that we or our strategic partners develop;</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1080"/>
          </w:cols>
          <w:pgMar w:left="320" w:top="455"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product candidates that may be profitable or have a high likelihood of success;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therapeutic platforms to build a pipeline of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requirements of ongoing regulatory review;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product liability lawsuits against us or any of our strategic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candidate manufacturing or formulation that may result in additional costs or delay;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business and dilution of our shareholdings associated with acquisitions and joint ventures;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governments to impose strict price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security breaches and incidents or data loss, which could compromise sensitive business or health information;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that may increase the difficulty and cost of commercializing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regulatory and other risks associated with international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legal and reputational penalties as a result of any of our current and future relationships with various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export control and import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significant losses since inception;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product sales and achieve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requirement for substantial additional funding;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dilution to our stockholders associated with future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seek financing, which may be imposed by future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future strategic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our strategic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future strategic partners;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to produce our product candidate supplies and on other third parties to provide supplies and store, monitor and transport bulk drug substance and drug product;</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oversee clinical trials of our product candidates and, in some cases, maintain regulatory files for those product candidates;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various operational and administrative aspects of our business including our reliance on third parties’ cloud-based software platforms;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the patents and other proprietary rights of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enforce patent protection for our product candidates and related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could be found invalid or unenforceable if challenged;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necessarily provide us with competitive advantages;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expensive and time-consuming patent lawsuits;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duration of our patents will not adequately protect our competitive position;</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7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protection under the Drug Price Competition and Patent Term Restoration Act of 1984 (the “Hatch-Waxman Amendments”) and similar legislation;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the confidentiality of our proprietary information;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procedural and administrative requirements relating to our patents;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claims challenging the inventorship of our patents and other intellectual property;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for some of our product candidates are dependent on the abilities of third parties to assert and defend such rights;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reform legislation and court decisions can diminish the value of patents in general, thereby impairing our ability to protect our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FDA approval for any proposed product candidate names and any failure or delay associated with such approval may adversely affect our business;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election to rely on reduced reporting and disclosure requirements available to smaller reporting companies may make our common stock less attractive to investors;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employee misconduct including noncompliance with regulatory standards and insider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products in a manner that does not violate the law and subject us to civil or criminal penalties;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laws regulating the protection of the environment and health and human safety, our business could be adversely affected;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 and attract and retain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potential securities class action litigation;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our share price and trading volume could decline.</w:t>
      </w:r>
    </w:p>
    <w:p>
      <w:pPr>
        <w:spacing w:after="0" w:line="162"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 Our Risk Factors are not guarantees that no such conditions exist as of the date of this prospectus supplement and should not be interpreted as an affirmative statement that such risks or conditions have not materialized, in whole or in part.</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70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7"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i w:val="1"/>
          <w:iCs w:val="1"/>
          <w:color w:val="auto"/>
        </w:rPr>
        <w:t>This summary highlights key aspects of this offering and certain information contained elsewhere in this prospectus supplement and the documents incorporated by reference. This summary is not complete and does not contain all of the information that may be important to you or that you should consider before investing in our common stock. You should read carefully the other information included and incorporated by reference in this prospectus supplement and the accompanying base shelf prospectus before investing in our common stock. You should pay special attention to the risks and uncertainties identified in the sections titled “Risk Factors” and “Cautionary Note Regarding Forward-Looking Statements” and elsewhere in this prospectus supplement, the accompanying base shelf prospectus and the documents incorporated by reference herein or therein, including our Quarterly Report on Form 10-Q for the three months ended September 30, 2022, when determining whether an investment in our common stock is appropriate for you.</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Zymeworks is a clinical-stage biopharmaceutical company dedicated to the development of next-generation multifunctional biotherapeutics. Our suite of complementary therapeutic platforms and our fully integrated drug development engine provide the flexibility and compatibility to precisely engineer and develop highly differentiated product candidates. These capabilities have resulted in multiple product candidates with the potential to drive positive outcomes in large underserved and unaddressed patient populations.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21"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On October 18, 2022, Zymeworks BC entered into a License and Collaboration Agreement (the “License and Collaboration Agreement”) with Jazz Pharmaceuticals Ireland Limited (“Jazz”), granting Jazz exclusive rights to develop and commercialize Zymeworks’ proprietary bispecific HER2 antibody product candidate known as zanidatamab throughout the world, but excluding the People’s Republic of China, Australia, New Zealand, Kazakhstan, Kyrgyzstan, Tajikistan, Turkmenistan, Uzbekistan, Hong Kong, Taiwan, Macau, Mongolia, South Korea, Brunei Darussalam, Cambodia, Indonesia, Papua New Guinea, Lao People’s Democratic Republic, Malaysia, Myanmar, Philippines, Singapore, Thailand, Timor-Leste, and Vietnam (the “Territory”). BeiGene, Ltd. has exclusive rights, pursuant to an agreement with Zymeworks dated November 26, 2018, as amended, to commercialize zanidatamab in those countries that are excluded from the Territory.</w:t>
      </w:r>
    </w:p>
    <w:p>
      <w:pPr>
        <w:spacing w:after="0" w:line="189" w:lineRule="exact"/>
        <w:rPr>
          <w:sz w:val="20"/>
          <w:szCs w:val="20"/>
          <w:color w:val="auto"/>
        </w:rPr>
      </w:pPr>
    </w:p>
    <w:p>
      <w:pPr>
        <w:jc w:val="both"/>
        <w:ind w:left="300" w:right="300"/>
        <w:spacing w:after="0" w:line="272" w:lineRule="auto"/>
        <w:rPr>
          <w:sz w:val="20"/>
          <w:szCs w:val="20"/>
          <w:color w:val="auto"/>
        </w:rPr>
      </w:pPr>
      <w:r>
        <w:rPr>
          <w:rFonts w:ascii="Times New Roman" w:cs="Times New Roman" w:eastAsia="Times New Roman" w:hAnsi="Times New Roman"/>
          <w:sz w:val="17"/>
          <w:szCs w:val="17"/>
          <w:color w:val="auto"/>
        </w:rPr>
        <w:t>Jazz has agreed to pay Zymeworks an upfront, non-refundable payment of $50.0 million, which will be due and payable by Jazz to Zymeworks following receipt of HSR Clearance, and if Jazz decides that it wants to retain its licenses and other rights under the License and Collaboration Agreement, then it will be required to make an additional payment of $325.0 million to Zymeworks within a specified period after the later of</w:t>
      </w:r>
    </w:p>
    <w:p>
      <w:pPr>
        <w:spacing w:after="0" w:line="2" w:lineRule="exact"/>
        <w:rPr>
          <w:sz w:val="20"/>
          <w:szCs w:val="20"/>
          <w:color w:val="auto"/>
        </w:rPr>
      </w:pPr>
    </w:p>
    <w:p>
      <w:pPr>
        <w:ind w:left="300" w:right="180" w:hanging="2"/>
        <w:spacing w:after="0" w:line="251" w:lineRule="auto"/>
        <w:tabs>
          <w:tab w:leader="none" w:pos="5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HSR Clearance is received and (ii) the date on which Zymeworks delivers to Jazz top-line data from the locked and cleaned trial database for the Zymeworks ongoing study of zanidatamab in subjects with advanced or metastatic HER2-amplified biliary tract cancers (HERIZON-BTC-01), known as ZWI-ZW25-203, as well as all data, analyses and other information set forth in the License and Collaboration Agreement. Jazz’s failure to make the latter payment before the end of such period shall cause the License and Collaboration Agreement to terminate automatically and immediately. Jazz will reimburse Zymeworks for Zymeworks’ performance of development activities under the License and Collaboration Agreement in accordance with a development plan and budget. Jazz also agreed to pay to Zymeworks potential regulatory milestone payments of up to an aggregate of $525.0 million, and potential commercial milestone payments of up to an aggregate of $862.5 million.</w:t>
      </w:r>
    </w:p>
    <w:p>
      <w:pPr>
        <w:spacing w:after="0" w:line="194" w:lineRule="exact"/>
        <w:rPr>
          <w:sz w:val="20"/>
          <w:szCs w:val="20"/>
          <w:color w:val="auto"/>
        </w:rPr>
      </w:pPr>
    </w:p>
    <w:p>
      <w:pPr>
        <w:ind w:left="300" w:right="140"/>
        <w:spacing w:after="0" w:line="261" w:lineRule="auto"/>
        <w:rPr>
          <w:sz w:val="20"/>
          <w:szCs w:val="20"/>
          <w:color w:val="auto"/>
        </w:rPr>
      </w:pPr>
      <w:r>
        <w:rPr>
          <w:rFonts w:ascii="Times New Roman" w:cs="Times New Roman" w:eastAsia="Times New Roman" w:hAnsi="Times New Roman"/>
          <w:sz w:val="18"/>
          <w:szCs w:val="18"/>
          <w:color w:val="auto"/>
        </w:rPr>
        <w:t>Pending approval, Zymeworks is eligible to receive tiered royalties between 10% and 20% on annual net sales of Licensed Products in the Territory, with customary reductions in specified circumstances. Royalties are payable on a Licensed Product-by-Licensed Product and country-by-country basis until the latest of (i) 10 years after the first commercial sale of such Licensed Product in such country, (ii) the expiration of the last valid licensed patent</w:t>
      </w:r>
    </w:p>
    <w:p>
      <w:pPr>
        <w:spacing w:after="0" w:line="2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920"/>
          </w:cols>
          <w:pgMar w:left="320" w:top="45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58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5587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claim within the licensed Zymeworks intellectual property covering such Licensed Product in such country, and (iii) the expiration of regulatory exclusivity of such Licensed Product in such country. For additional information regarding the Agreement, please refer to our Form 8-K filed with the Securities and Exchange Commission, or the SEC, on </w:t>
      </w:r>
      <w:hyperlink r:id="rId24">
        <w:r>
          <w:rPr>
            <w:rFonts w:ascii="Times New Roman" w:cs="Times New Roman" w:eastAsia="Times New Roman" w:hAnsi="Times New Roman"/>
            <w:sz w:val="18"/>
            <w:szCs w:val="18"/>
            <w:u w:val="single" w:color="auto"/>
            <w:color w:val="0000EE"/>
          </w:rPr>
          <w:t>October 19, 2022</w:t>
        </w:r>
      </w:hyperlink>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00" w:right="1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13, 2022, we completed the corporate redomicile (“Redomicile Transactions”) pursuant to which Zymeworks Inc., a Delaware corporation formerly known as Zymeworks Delaware Inc., became the ultimate parent company of Zymeworks Inc., a corporation existing under the laws of the Province of British Columbia and which was renamed as Zymeworks BC Inc. For additional information regarding the Redomicile Transactions, please refer to our Form 8-K12B filed with the Securities and Exchange Commission, or the SEC, on </w:t>
      </w:r>
      <w:hyperlink r:id="rId25">
        <w:r>
          <w:rPr>
            <w:rFonts w:ascii="Times New Roman" w:cs="Times New Roman" w:eastAsia="Times New Roman" w:hAnsi="Times New Roman"/>
            <w:sz w:val="18"/>
            <w:szCs w:val="18"/>
            <w:u w:val="single" w:color="auto"/>
            <w:color w:val="0000EE"/>
          </w:rPr>
          <w:t>October 13, 2022</w:t>
        </w:r>
      </w:hyperlink>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On September 12, 2022, we presented preliminary results from our Phase 1 clinical trial evaluating zanidatamab zovodotin (ZW49) for the treatment of HER2-positive tumors. A total of 77 patients were enrolled in this first-in-human trial, which was designed to determine the maximum tolerated dose of zanidatamab zovodotin, characterize its safety and tolerability, and evaluate anti-tumor activity in HER2-expressing cancers as monotherapy. The patients represented a variety of HER2-expressing cancers including breast, gastroesophageal, ovarian, endometrial, bladder, biliary tract, anal, colorectal, pancreatic and lung. At the time of the analysis, the maximum tolerated dose had not yet been reached. In the trial, zanidatamab zovodotin was shown to have a manageable safety profile with the majority of adverse events being Grade 1 or 2 in severity. In patients with HER2-positive cancers treated with zanidatamab zovodotin at 2.5 mg/kg Q3W (dose escalation + dose expansion), the confirmed objective response rate was 31% and the disease control rate was 72%. The Phase 1 clinical trial is ongoing and continues to enroll patients to study safety, tolerability and activity for an alternate qW dosing regimen. We expect to present results of this dosing regimen at a medical meeting in 2023 and the recommended phase two dosing schedule before the end of 2022.</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of this prospectus supplement titled “Risk</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Factors.” The following is a summary of the principal risks we face:</w:t>
      </w:r>
    </w:p>
    <w:p>
      <w:pPr>
        <w:spacing w:after="0" w:line="112" w:lineRule="exact"/>
        <w:rPr>
          <w:sz w:val="20"/>
          <w:szCs w:val="20"/>
          <w:color w:val="auto"/>
        </w:rPr>
      </w:pPr>
    </w:p>
    <w:p>
      <w:pPr>
        <w:jc w:val="both"/>
        <w:ind w:left="1240" w:right="40" w:hanging="415"/>
        <w:spacing w:after="0" w:line="312"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number of product candidates, all which are still in clinical development. If we do not obtain regulatory approval of one or more of our product candidates, or experience significant delays in doing so, our business will be materially adversely affected.</w:t>
      </w:r>
    </w:p>
    <w:p>
      <w:pPr>
        <w:spacing w:after="0" w:line="45" w:lineRule="exact"/>
        <w:rPr>
          <w:rFonts w:ascii="Times New Roman" w:cs="Times New Roman" w:eastAsia="Times New Roman" w:hAnsi="Times New Roman"/>
          <w:sz w:val="17"/>
          <w:szCs w:val="17"/>
          <w:color w:val="auto"/>
        </w:rPr>
      </w:pPr>
    </w:p>
    <w:p>
      <w:pPr>
        <w:ind w:left="1240" w:right="300" w:hanging="415"/>
        <w:spacing w:after="0" w:line="289"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are expensive, time consuming, difficult to design and implement, and involve uncertain outcomes. Furthermore, the results of previous preclinical studies and clinical trials may not be predictive of future results, and the results of our current and planned clinical trials may not satisfy the requirements of the FDA or comparable regulatory authorities outside the United States.</w:t>
      </w:r>
    </w:p>
    <w:p>
      <w:pPr>
        <w:spacing w:after="0" w:line="63" w:lineRule="exact"/>
        <w:rPr>
          <w:rFonts w:ascii="Times New Roman" w:cs="Times New Roman" w:eastAsia="Times New Roman" w:hAnsi="Times New Roman"/>
          <w:sz w:val="17"/>
          <w:szCs w:val="17"/>
          <w:color w:val="auto"/>
        </w:rPr>
      </w:pPr>
    </w:p>
    <w:p>
      <w:pPr>
        <w:ind w:left="1240" w:right="10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 term prospects depend in part upon discovering, developing and commercializing additional product candidates, which may fail in development or suffer delays that adversely affect their commercial viability.</w:t>
      </w:r>
    </w:p>
    <w:p>
      <w:pPr>
        <w:spacing w:after="0" w:line="67" w:lineRule="exact"/>
        <w:rPr>
          <w:rFonts w:ascii="Times New Roman" w:cs="Times New Roman" w:eastAsia="Times New Roman" w:hAnsi="Times New Roman"/>
          <w:sz w:val="18"/>
          <w:szCs w:val="18"/>
          <w:color w:val="auto"/>
        </w:rPr>
      </w:pPr>
    </w:p>
    <w:p>
      <w:pPr>
        <w:jc w:val="both"/>
        <w:ind w:left="1240" w:right="260" w:hanging="415"/>
        <w:spacing w:after="0" w:line="289" w:lineRule="auto"/>
        <w:tabs>
          <w:tab w:leader="none" w:pos="12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have undesirable side effects that may delay or prevent marketing approval or, if approval is received, require them to be taken off the market, require them to include safety warnings or otherwise limit their sales; no regulatory agency has made any determination that any of our product candidates are safe or effective for use by the general public for any indication.</w:t>
      </w:r>
    </w:p>
    <w:p>
      <w:pPr>
        <w:spacing w:after="0" w:line="63" w:lineRule="exact"/>
        <w:rPr>
          <w:rFonts w:ascii="Times New Roman" w:cs="Times New Roman" w:eastAsia="Times New Roman" w:hAnsi="Times New Roman"/>
          <w:sz w:val="17"/>
          <w:szCs w:val="17"/>
          <w:color w:val="auto"/>
        </w:rPr>
      </w:pPr>
    </w:p>
    <w:p>
      <w:pPr>
        <w:ind w:left="1240" w:right="220" w:hanging="415"/>
        <w:spacing w:after="0" w:line="28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and if our competitors develop and market products that are more effective, safer or less expensive than our product candidates, our commercial opportunities will be negatively impacted.</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40"/>
          </w:cols>
          <w:pgMar w:left="320" w:top="455" w:right="6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0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receive regulatory approval, the approved products may not achieve broad market acceptance among physicians, patients, the medical community and third-party payors, in which case revenue generated from their sales would be limited.</w:t>
      </w:r>
    </w:p>
    <w:p>
      <w:pPr>
        <w:spacing w:after="0" w:line="81" w:lineRule="exact"/>
        <w:rPr>
          <w:rFonts w:ascii="Times New Roman" w:cs="Times New Roman" w:eastAsia="Times New Roman" w:hAnsi="Times New Roman"/>
          <w:sz w:val="18"/>
          <w:szCs w:val="18"/>
          <w:color w:val="auto"/>
        </w:rPr>
      </w:pPr>
    </w:p>
    <w:p>
      <w:pPr>
        <w:ind w:left="1240" w:right="6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our therapeutic platforms to build a pipeline of product candidates.</w:t>
      </w:r>
    </w:p>
    <w:p>
      <w:pPr>
        <w:spacing w:after="0" w:line="130" w:lineRule="exact"/>
        <w:rPr>
          <w:rFonts w:ascii="Times New Roman" w:cs="Times New Roman" w:eastAsia="Times New Roman" w:hAnsi="Times New Roman"/>
          <w:sz w:val="18"/>
          <w:szCs w:val="18"/>
          <w:color w:val="auto"/>
        </w:rPr>
      </w:pPr>
    </w:p>
    <w:p>
      <w:pPr>
        <w:ind w:left="1240" w:right="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product liability lawsuits are successfully brought against us or any of our strategic partners, we may incur substantial liabilities and may be required to limit commercialization of our product candidates.</w:t>
      </w:r>
    </w:p>
    <w:p>
      <w:pPr>
        <w:spacing w:after="0" w:line="67" w:lineRule="exact"/>
        <w:rPr>
          <w:rFonts w:ascii="Times New Roman" w:cs="Times New Roman" w:eastAsia="Times New Roman" w:hAnsi="Times New Roman"/>
          <w:sz w:val="18"/>
          <w:szCs w:val="18"/>
          <w:color w:val="auto"/>
        </w:rPr>
      </w:pPr>
    </w:p>
    <w:p>
      <w:pPr>
        <w:jc w:val="both"/>
        <w:ind w:left="1240" w:right="12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81" w:lineRule="exact"/>
        <w:rPr>
          <w:rFonts w:ascii="Times New Roman" w:cs="Times New Roman" w:eastAsia="Times New Roman" w:hAnsi="Times New Roman"/>
          <w:sz w:val="18"/>
          <w:szCs w:val="18"/>
          <w:color w:val="auto"/>
        </w:rPr>
      </w:pPr>
    </w:p>
    <w:p>
      <w:pPr>
        <w:ind w:left="1240" w:right="56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may increase the difficulty and cost for us to commercialize any products that we or our strategic partners develop and affect the prices we may obtain.</w:t>
      </w:r>
    </w:p>
    <w:p>
      <w:pPr>
        <w:spacing w:after="0" w:line="67" w:lineRule="exact"/>
        <w:rPr>
          <w:rFonts w:ascii="Times New Roman" w:cs="Times New Roman" w:eastAsia="Times New Roman" w:hAnsi="Times New Roman"/>
          <w:sz w:val="18"/>
          <w:szCs w:val="18"/>
          <w:color w:val="auto"/>
        </w:rPr>
      </w:pPr>
    </w:p>
    <w:p>
      <w:pPr>
        <w:ind w:left="1240" w:right="34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realize certain benefits of the Redomicile Transactions, including as a result of the shares of our common stock not being included in a U.S. stock market index</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effective tax rate may change in the future, including as a result of the Redomicile Transactions.</w:t>
      </w:r>
    </w:p>
    <w:p>
      <w:pPr>
        <w:spacing w:after="0" w:line="130" w:lineRule="exact"/>
        <w:rPr>
          <w:rFonts w:ascii="Times New Roman" w:cs="Times New Roman" w:eastAsia="Times New Roman" w:hAnsi="Times New Roman"/>
          <w:sz w:val="18"/>
          <w:szCs w:val="18"/>
          <w:color w:val="auto"/>
        </w:rPr>
      </w:pPr>
    </w:p>
    <w:p>
      <w:pPr>
        <w:jc w:val="both"/>
        <w:ind w:left="1240" w:right="1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anticipate that we will continue to incur losses for the foreseeable future. We have no products approved for commercial sale, and to date we have not generated any revenue or profit from product sales. We may never achieve or sustain profitability.</w:t>
      </w:r>
    </w:p>
    <w:p>
      <w:pPr>
        <w:spacing w:after="0" w:line="81" w:lineRule="exact"/>
        <w:rPr>
          <w:rFonts w:ascii="Times New Roman" w:cs="Times New Roman" w:eastAsia="Times New Roman" w:hAnsi="Times New Roman"/>
          <w:sz w:val="18"/>
          <w:szCs w:val="18"/>
          <w:color w:val="auto"/>
        </w:rPr>
      </w:pPr>
    </w:p>
    <w:p>
      <w:pPr>
        <w:ind w:left="1240" w:right="280" w:hanging="415"/>
        <w:spacing w:after="0" w:line="282"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67" w:lineRule="exact"/>
        <w:rPr>
          <w:rFonts w:ascii="Times New Roman" w:cs="Times New Roman" w:eastAsia="Times New Roman" w:hAnsi="Times New Roman"/>
          <w:sz w:val="18"/>
          <w:szCs w:val="18"/>
          <w:color w:val="auto"/>
        </w:rPr>
      </w:pPr>
    </w:p>
    <w:p>
      <w:pPr>
        <w:ind w:left="1240" w:right="10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depend on our collaborative relationship with Jazz to further develop and commercialize zanidatamab, and if our relationship is not successful or is terminated, we may be delayed in or unable to effectively develop and/or commercialize zanidatamab, which could have a material adverse effect on our business.</w:t>
      </w:r>
    </w:p>
    <w:p>
      <w:pPr>
        <w:spacing w:after="0" w:line="81" w:lineRule="exact"/>
        <w:rPr>
          <w:rFonts w:ascii="Times New Roman" w:cs="Times New Roman" w:eastAsia="Times New Roman" w:hAnsi="Times New Roman"/>
          <w:sz w:val="18"/>
          <w:szCs w:val="18"/>
          <w:color w:val="auto"/>
        </w:rPr>
      </w:pPr>
    </w:p>
    <w:p>
      <w:pPr>
        <w:ind w:left="1240" w:right="2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81"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manufacturers to produce our product candidates and on other third parties to provide supplies and store, monitor and transport bulk drug substance and drug product. We and our third-party partners may encounter difficulties with respect to these activities that could delay or impair our ability to initiate or complete our clinical trials or commercialize approved products.</w:t>
      </w:r>
    </w:p>
    <w:p>
      <w:pPr>
        <w:spacing w:after="0" w:line="81" w:lineRule="exact"/>
        <w:rPr>
          <w:rFonts w:ascii="Times New Roman" w:cs="Times New Roman" w:eastAsia="Times New Roman" w:hAnsi="Times New Roman"/>
          <w:sz w:val="18"/>
          <w:szCs w:val="18"/>
          <w:color w:val="auto"/>
        </w:rPr>
      </w:pPr>
    </w:p>
    <w:p>
      <w:pPr>
        <w:ind w:left="1240" w:right="160" w:hanging="415"/>
        <w:spacing w:after="0" w:line="258" w:lineRule="auto"/>
        <w:tabs>
          <w:tab w:leader="none" w:pos="1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monitor, support, conduct and oversee clinical trials of the product candidates that we are developing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2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940"/>
          </w:cols>
          <w:pgMar w:left="320" w:top="455" w:right="6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7585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6998970" cy="3758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and trade secret protection for our product candidates and related technology, our business could be materially harmed.</w:t>
      </w:r>
    </w:p>
    <w:p>
      <w:pPr>
        <w:spacing w:after="0" w:line="67" w:lineRule="exact"/>
        <w:rPr>
          <w:rFonts w:ascii="Times New Roman" w:cs="Times New Roman" w:eastAsia="Times New Roman" w:hAnsi="Times New Roman"/>
          <w:sz w:val="18"/>
          <w:szCs w:val="18"/>
          <w:color w:val="auto"/>
        </w:rPr>
      </w:pPr>
    </w:p>
    <w:p>
      <w:pPr>
        <w:ind w:left="1240" w:right="520" w:hanging="415"/>
        <w:spacing w:after="0" w:line="282"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the confidentiality of our proprietary information, the value of our technology and products could be adversely affected.</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likely to be volatile and the market price of our common stock may drop below the price paid by stockholders.</w:t>
      </w:r>
    </w:p>
    <w:p>
      <w:pPr>
        <w:spacing w:after="0" w:line="130" w:lineRule="exact"/>
        <w:rPr>
          <w:rFonts w:ascii="Times New Roman" w:cs="Times New Roman" w:eastAsia="Times New Roman" w:hAnsi="Times New Roman"/>
          <w:sz w:val="18"/>
          <w:szCs w:val="18"/>
          <w:color w:val="auto"/>
        </w:rPr>
      </w:pPr>
    </w:p>
    <w:p>
      <w:pPr>
        <w:ind w:left="1240" w:right="160" w:hanging="415"/>
        <w:spacing w:after="0" w:line="266" w:lineRule="auto"/>
        <w:tabs>
          <w:tab w:leader="none" w:pos="12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Information</w:t>
      </w:r>
    </w:p>
    <w:p>
      <w:pPr>
        <w:spacing w:after="0" w:line="121"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are a Delaware corporation following the completion of the Redomicile Transactions on October 13, 2022. Our principal executive offices are located at 108 Patriot Drive, Suite A, Middletown, Delaware 19709, and our telephone number is (302) 274-8744. Our predecessor, now named Zymeworks BC Inc., was originally incorporated on September 8, 2003 under the Canada Business Corporations Act under the name Zymeworks Inc. On October 22, 2003, our predecessor was registered as an extra-provincial company under the Company Act (British Columbia), the predecessor to the Business Corporations Act (British Columbia), or the BCBCA. Our predecessor continued to the BCBCA on May 2, 2017. Our corporate website address is www.zymeworks.com. The references to www.zymeworks.com in this prospectus supplement, the accompanying base shelf prospectus and the documents incorporated by reference herein or therein are inactive textual references only, and the information found on our internet website is not incorporated by reference into, and should not be considered part of, this prospectus supplement, the accompanying base shelf prospectus or the documents incorporated by reference herein or therein. Investors should not rely on any such information in deciding whether to invest in our common stock. We have physical operations and personnel in Canada and the United States, and maintain offices in both countries. In addition, as a result of the ongoing COVID-19 pandemic, we have implemented and expect to continue implementing hybrid and virtual-only working arrangements. Zymeworks’ executive officers and directors are located in several jurisdictions, including the United States, Canada and the United Kingdom.</w:t>
      </w: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920"/>
          </w:cols>
          <w:pgMar w:left="320" w:top="455" w:right="6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213360</wp:posOffset>
            </wp:positionV>
            <wp:extent cx="6998970" cy="6013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ectPr>
          <w:pgSz w:w="11900" w:h="16838" w:orient="portrait"/>
          <w:cols w:equalWidth="0" w:num="1">
            <w:col w:w="10900"/>
          </w:cols>
          <w:pgMar w:left="320" w:top="455"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Common stock offered by us:</w:t>
      </w:r>
    </w:p>
    <w:p>
      <w:pPr>
        <w:spacing w:after="0" w:line="266"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Common stock to be outstanding following the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 having an aggregate offering price of up to $150,000,000.</w:t>
      </w:r>
    </w:p>
    <w:p>
      <w:pPr>
        <w:spacing w:after="0" w:line="266"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Up to 81,353,626 shares of our common stock, based on 61,694,387 common shares outstanding as of September 30, 2022 and assuming sales of 19,659,239 shares of our common stock in this offering at an offering price of $7.63 per share, which was the last reported sale price of our common stock on the NYSE on November 8, 2022. The actual number of shares issued will vary depending on the sale price under this offering.</w:t>
      </w:r>
    </w:p>
    <w:p>
      <w:pPr>
        <w:spacing w:after="0" w:line="200" w:lineRule="exact"/>
        <w:rPr>
          <w:sz w:val="20"/>
          <w:szCs w:val="20"/>
          <w:color w:val="auto"/>
        </w:rPr>
      </w:pPr>
    </w:p>
    <w:p>
      <w:pPr>
        <w:sectPr>
          <w:pgSz w:w="11900" w:h="16838" w:orient="portrait"/>
          <w:cols w:equalWidth="0" w:num="2">
            <w:col w:w="3680" w:space="660"/>
            <w:col w:w="6560"/>
          </w:cols>
          <w:pgMar w:left="320" w:top="455" w:right="679" w:bottom="1440" w:gutter="0" w:footer="0" w:header="0"/>
          <w:type w:val="continuous"/>
        </w:sectPr>
      </w:pPr>
    </w:p>
    <w:p>
      <w:pPr>
        <w:spacing w:after="0" w:line="1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Plan of Distribution:</w:t>
      </w:r>
      <w:r>
        <w:rPr>
          <w:sz w:val="20"/>
          <w:szCs w:val="20"/>
          <w:color w:val="auto"/>
        </w:rPr>
        <w:tab/>
      </w:r>
      <w:r>
        <w:rPr>
          <w:rFonts w:ascii="Times New Roman" w:cs="Times New Roman" w:eastAsia="Times New Roman" w:hAnsi="Times New Roman"/>
          <w:sz w:val="17"/>
          <w:szCs w:val="17"/>
          <w:color w:val="auto"/>
        </w:rPr>
        <w:t>“At-the-market offering” that may be made from time to time through our sales agent,</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Cantor. See “Plan of Distribution.”</w:t>
      </w:r>
    </w:p>
    <w:p>
      <w:pPr>
        <w:spacing w:after="0" w:line="234"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7"/>
          <w:szCs w:val="17"/>
          <w:color w:val="auto"/>
        </w:rPr>
        <w:t>We intend to use the net proceeds from the sale of our common stock pursuant to this</w:t>
      </w:r>
    </w:p>
    <w:p>
      <w:pPr>
        <w:spacing w:after="0" w:line="27" w:lineRule="exact"/>
        <w:rPr>
          <w:sz w:val="20"/>
          <w:szCs w:val="20"/>
          <w:color w:val="auto"/>
        </w:rPr>
      </w:pPr>
    </w:p>
    <w:p>
      <w:pPr>
        <w:ind w:left="4340" w:right="120"/>
        <w:spacing w:after="0" w:line="277" w:lineRule="auto"/>
        <w:rPr>
          <w:sz w:val="20"/>
          <w:szCs w:val="20"/>
          <w:color w:val="auto"/>
        </w:rPr>
      </w:pPr>
      <w:r>
        <w:rPr>
          <w:rFonts w:ascii="Times New Roman" w:cs="Times New Roman" w:eastAsia="Times New Roman" w:hAnsi="Times New Roman"/>
          <w:sz w:val="17"/>
          <w:szCs w:val="17"/>
          <w:color w:val="auto"/>
        </w:rPr>
        <w:t>offering, if any, together with our existing cash and cash equivalents, (i) to continue research and development relating to ZW49 and our other preclinical and discovery-stage programs and (ii) for general corporate purposes. See “Use of Proceeds” on page 73.</w:t>
      </w:r>
    </w:p>
    <w:p>
      <w:pPr>
        <w:spacing w:after="0" w:line="19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7"/>
          <w:szCs w:val="17"/>
          <w:color w:val="auto"/>
        </w:rPr>
        <w:t>Investing in our common stock involves risks. See “Risk Factors” beginning on page S-13</w:t>
      </w:r>
    </w:p>
    <w:p>
      <w:pPr>
        <w:spacing w:after="0" w:line="27" w:lineRule="exact"/>
        <w:rPr>
          <w:sz w:val="20"/>
          <w:szCs w:val="20"/>
          <w:color w:val="auto"/>
        </w:rPr>
      </w:pPr>
    </w:p>
    <w:p>
      <w:pPr>
        <w:ind w:left="4340"/>
        <w:spacing w:after="0" w:line="253" w:lineRule="auto"/>
        <w:rPr>
          <w:sz w:val="20"/>
          <w:szCs w:val="20"/>
          <w:color w:val="auto"/>
        </w:rPr>
      </w:pPr>
      <w:r>
        <w:rPr>
          <w:rFonts w:ascii="Times New Roman" w:cs="Times New Roman" w:eastAsia="Times New Roman" w:hAnsi="Times New Roman"/>
          <w:sz w:val="18"/>
          <w:szCs w:val="18"/>
          <w:color w:val="auto"/>
        </w:rPr>
        <w:t>of this prospectus supplement and on page 7 of the accompanying base shelf prospectus, as well as those risks and uncertainties identified in the documents incorporated by reference herein or therein, including our Quarterly Report on Form 10-Q for the three months ended September 30, 2022.</w:t>
      </w:r>
    </w:p>
    <w:p>
      <w:pPr>
        <w:spacing w:after="0" w:line="216"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NYSE symbol:</w:t>
      </w:r>
      <w:r>
        <w:rPr>
          <w:sz w:val="20"/>
          <w:szCs w:val="20"/>
          <w:color w:val="auto"/>
        </w:rPr>
        <w:tab/>
      </w:r>
      <w:r>
        <w:rPr>
          <w:rFonts w:ascii="Times New Roman" w:cs="Times New Roman" w:eastAsia="Times New Roman" w:hAnsi="Times New Roman"/>
          <w:sz w:val="17"/>
          <w:szCs w:val="17"/>
          <w:color w:val="auto"/>
        </w:rPr>
        <w:t>“ZYME”</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61,694,387 common shares outstanding as of</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September 30, 2022, and excludes:</w:t>
      </w:r>
    </w:p>
    <w:p>
      <w:pPr>
        <w:spacing w:after="0" w:line="112" w:lineRule="exact"/>
        <w:rPr>
          <w:sz w:val="20"/>
          <w:szCs w:val="20"/>
          <w:color w:val="auto"/>
        </w:rPr>
      </w:pPr>
    </w:p>
    <w:p>
      <w:pPr>
        <w:ind w:left="1240" w:right="3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1,384,201 common shares issuable upon the exercise of fully-vested outstanding options to issue common shares, at a weighted average exercise price of C$20.13 per common share and 2,351,411 common shares issuable upon the exercise of fully-vested outstanding options to issue common shares, at a weighted average exercise price of $20.54 per common share, in each case as of September 30, 2022;</w:t>
      </w:r>
    </w:p>
    <w:p>
      <w:pPr>
        <w:spacing w:after="0" w:line="85" w:lineRule="exact"/>
        <w:rPr>
          <w:rFonts w:ascii="Times New Roman" w:cs="Times New Roman" w:eastAsia="Times New Roman" w:hAnsi="Times New Roman"/>
          <w:sz w:val="18"/>
          <w:szCs w:val="18"/>
          <w:color w:val="auto"/>
        </w:rPr>
      </w:pPr>
    </w:p>
    <w:p>
      <w:pPr>
        <w:ind w:left="1240" w:right="140" w:hanging="415"/>
        <w:spacing w:after="0" w:line="261"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833,968 common shares issuable upon the exercise of unvested outstanding options to issue common shares, at a weighted average exercise price of C$18.03 per common share and 2,491,599 common shares issuable upon the exercise of unvested outstanding options to issue common shares, at a weighted average exercise price of $16.03 per common share, in each case as of September 30, 2022;</w:t>
      </w:r>
    </w:p>
    <w:p>
      <w:pPr>
        <w:spacing w:after="0" w:line="85" w:lineRule="exact"/>
        <w:rPr>
          <w:rFonts w:ascii="Times New Roman" w:cs="Times New Roman" w:eastAsia="Times New Roman" w:hAnsi="Times New Roman"/>
          <w:sz w:val="18"/>
          <w:szCs w:val="18"/>
          <w:color w:val="auto"/>
        </w:rPr>
      </w:pPr>
    </w:p>
    <w:p>
      <w:pPr>
        <w:ind w:left="1240" w:right="380" w:hanging="415"/>
        <w:spacing w:after="0" w:line="282" w:lineRule="auto"/>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 common shares issuable upon the exercise of unvested outstanding options to issue common shares, as of September 30, 2022, at a weighted average exercise price of $12.36 per common share;</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182,533 common shares issuable upon vesting of outstanding restricted stock units outstanding as of September 30, 2022;</w:t>
      </w:r>
    </w:p>
    <w:p>
      <w:pPr>
        <w:spacing w:after="0" w:line="3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00"/>
          </w:cols>
          <w:pgMar w:left="320" w:top="455" w:right="6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601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6998970" cy="2601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14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3,275,576 common shares reserved for future issuance under our stock option plan and 1,722,239 common shares reserved for future issuance under our employee stock purchase plan, in each case as of September 30, 2022;</w:t>
      </w:r>
    </w:p>
    <w:p>
      <w:pPr>
        <w:spacing w:after="0" w:line="67" w:lineRule="exact"/>
        <w:rPr>
          <w:rFonts w:ascii="Times New Roman" w:cs="Times New Roman" w:eastAsia="Times New Roman" w:hAnsi="Times New Roman"/>
          <w:sz w:val="18"/>
          <w:szCs w:val="18"/>
          <w:color w:val="auto"/>
        </w:rPr>
      </w:pPr>
    </w:p>
    <w:p>
      <w:pPr>
        <w:ind w:left="1240" w:right="700" w:hanging="415"/>
        <w:spacing w:after="0" w:line="282" w:lineRule="auto"/>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common shares reserved for future issuance under our Inducement Stock Option and Equity Compensation Plan as of September 30, 2022;</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1,424,533 common shares issuable upon the exchange of the Exchangeable Shares as of October 13, 2022;</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4,794,224 pre-funded warrants to purchase up to 4,794,224 common shares as of September 30, 2022; and</w:t>
      </w:r>
    </w:p>
    <w:p>
      <w:pPr>
        <w:spacing w:after="0" w:line="130" w:lineRule="exact"/>
        <w:rPr>
          <w:rFonts w:ascii="Times New Roman" w:cs="Times New Roman" w:eastAsia="Times New Roman" w:hAnsi="Times New Roman"/>
          <w:sz w:val="18"/>
          <w:szCs w:val="18"/>
          <w:color w:val="auto"/>
        </w:rPr>
      </w:pPr>
    </w:p>
    <w:p>
      <w:pPr>
        <w:ind w:left="1240" w:right="140" w:hanging="415"/>
        <w:spacing w:after="0" w:line="312" w:lineRule="auto"/>
        <w:tabs>
          <w:tab w:leader="none" w:pos="12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1,375,000 shares of common stock issued upon the exercise of 1,375,000 of such pre-funded warrants on October 25, 2022 and 1,340,000 shares of common stock issued upon the exercise of a further 1,340,000 of such pre-funded warrants on October 27, 2022.</w:t>
      </w:r>
    </w:p>
    <w:p>
      <w:pPr>
        <w:spacing w:after="0" w:line="140" w:lineRule="exact"/>
        <w:rPr>
          <w:sz w:val="20"/>
          <w:szCs w:val="20"/>
          <w:color w:val="auto"/>
        </w:rPr>
      </w:pPr>
    </w:p>
    <w:p>
      <w:pPr>
        <w:ind w:left="30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October 12, 2022, we entered into a Preferred Stock Rights Agreement (the “Rights Agreement”) with Computershare Trust Company, N.A., pursuant to which we declared a dividend for each share of common stock consisting of one right (each, a “Right”) to purchase one one-thousandth of a share of our Series B Participating Preferred Stock, par value $0.0001 per share, at an exercise price of $74.00 per one one-thousandth of a share. Pursuant to the terms of the Rights Agreement, one Right will accompany any new shares of common stock that are issued pursuant to this offering prior to the earlier of the Distribution Date (as defined in the Rights Agreement) or the termination of the Rights Agreement. For additional information, see our </w:t>
      </w:r>
      <w:hyperlink r:id="rId34">
        <w:r>
          <w:rPr>
            <w:rFonts w:ascii="Times New Roman" w:cs="Times New Roman" w:eastAsia="Times New Roman" w:hAnsi="Times New Roman"/>
            <w:sz w:val="18"/>
            <w:szCs w:val="18"/>
            <w:u w:val="single" w:color="auto"/>
            <w:color w:val="0000EE"/>
          </w:rPr>
          <w:t>Form 8-K12B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Securities and Exchange Commission on October 13, 2022.</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40"/>
          </w:cols>
          <w:pgMar w:left="320" w:top="455" w:right="6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20"/>
        <w:spacing w:after="0" w:line="273" w:lineRule="auto"/>
        <w:rPr>
          <w:sz w:val="20"/>
          <w:szCs w:val="20"/>
          <w:color w:val="auto"/>
        </w:rPr>
      </w:pPr>
      <w:r>
        <w:rPr>
          <w:rFonts w:ascii="Times New Roman" w:cs="Times New Roman" w:eastAsia="Times New Roman" w:hAnsi="Times New Roman"/>
          <w:sz w:val="17"/>
          <w:szCs w:val="17"/>
          <w:i w:val="1"/>
          <w:iCs w:val="1"/>
          <w:color w:val="auto"/>
        </w:rPr>
        <w:t>Investing in our common stock is speculative and involves a high degree of risk. The following risk factors, as well as risks currently unknown to us, could materially adversely affect our future business, operations and financial condition and could cause them to differ materially from the estimates described in forward-looking information relating to us, or our business, property or financial results, each of which could cause purchasers of our common stock to lose part or all of their investment. In addition to the other information contained in this prospectus supplement, the accompanying base shelf prospectus and the documents incorporated by reference herein and therein, prospective investors should carefully consider the factors described in the section titled “Risk Factors” in the accompanying base shelf prospectus and our Quarterly Report on Form 10-Q for the three months ended September 30, 2022 and the factors set out below in evaluating Zymeworks and its business before making an investment in our common stock.</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 and the Development and Commercialization of Our Product Candidates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number of product candidates, all which are still in pre-clinical or clinical development. If we do not obtain regulatory approval of one or more of our product candidates, or experience significant delays in doing so, our business will be materially adversely affected.</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currently have no products approved for sale or marketing in any country, and may never be able to obtain regulatory approval for any of our product candidates. As a result, we are not currently permitted to market any of our product candidates in the United States or in any other country until we obtain regulatory approval from the FDA or comparable regulatory authorities outside the United States. Our product candidates are in pre-clinical or clinical development and we have not submitted an application, or received marketing approval, for any of our product candidates. Obtaining regulatory approval of our product candidates will depend on many factors, including:</w:t>
      </w:r>
    </w:p>
    <w:p>
      <w:pPr>
        <w:spacing w:after="0" w:line="89"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clinical trials that demonstrate the efficacy and safety of our product candidates;</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appropriate regulatory authorities of an application for marketing approval that includes substantial evidence of safety, purity and potency from results of nonclinical testing and clinical trials;</w:t>
      </w:r>
    </w:p>
    <w:p>
      <w:pPr>
        <w:spacing w:after="0" w:line="67"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adequate commercial manufacturing arrangements or establishing our own commercial manufacturing capabilities or reliable arrangements with third-party contract manufacturers;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pre-approval audits of nonclinical sites, clinical trial sites, and third-party manufacturing sites that generated the data and product in support of the marketing application;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marketing and distribution operations.</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Many of these factors are wholly or partially beyond our control, including clinical advancement, the regulatory submission process and changes in the competitive landscape. If we do not achieve one or more of these factors in a timely manner, we could experience significant delays or an inability to develop our product candidates at all.</w:t>
      </w:r>
    </w:p>
    <w:p>
      <w:pPr>
        <w:spacing w:after="0" w:line="280"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Clinical trials are expensive, time consuming, difficult to design and implement, and involve uncertain outcomes. Furthermore, the results of previous preclinical studies and clinical trials may not be predictive of future results, and the results of our current and planned clinical trials may not satisfy the requirements of the FDA or comparable regulatory authorities outside the United States.</w:t>
      </w:r>
    </w:p>
    <w:p>
      <w:pPr>
        <w:spacing w:after="0" w:line="67"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have not previously submitted a Biologics License Application (“BLA”), to the FDA or similar marketing applications to foreign health authorities. A BLA must include extensive preclinical and clinical data and supporting information to establish the product candidate’s safety, purity and efficacy for each desired indication.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80"/>
        <w:spacing w:after="0" w:line="261" w:lineRule="auto"/>
        <w:rPr>
          <w:sz w:val="20"/>
          <w:szCs w:val="20"/>
          <w:color w:val="auto"/>
        </w:rPr>
      </w:pPr>
      <w:r>
        <w:rPr>
          <w:rFonts w:ascii="Times New Roman" w:cs="Times New Roman" w:eastAsia="Times New Roman" w:hAnsi="Times New Roman"/>
          <w:sz w:val="18"/>
          <w:szCs w:val="18"/>
          <w:color w:val="auto"/>
        </w:rPr>
        <w:t>The BLA must also include significant information regarding the manufacturing controls for the product. The novel nature of our product candidates may introduce uncertain, complex, expensive and lengthy challenges that could impact regulatory approval. Even if we eventually complete clinical testing and receive approval of any regulatory filing for our product candidates, the FDA or foreign health authorities may approve our product candidates for a more limited indication or a narrower patient population than we originally requested.</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There is typically an extremely high rate of attrition from the failure of product candidates proceeding through preclinical studies and clinical trials. Positive or timely results from preclinical or early-stage trials do not ensure positive or timely results in late-stage clinical trials or product approval by the FDA or comparable regulatory authorities outside the United States. We will be required to demonstrate with substantial evidence through well-controlled clinical trials that our product candidates are safe and effective for use in a diverse population before we can seek regulatory approvals for their commercial sale. Our clinical trials may produce negative or inconclusive results, and we or any of our current and future strategic partners may decide, or regulators may require us, to conduct additional clinical or preclinical testing. In some instances, there can be significant variability in safety or efficacy results between different preclinical studies and clinical trials of the same product candidate due to numerous factors, including changes in clinical trial procedures set forth in protocols, differences in the size and type of the patient populations, changes in and adherence to the clinical trial protocols and the rate of dropout among clinical trial participants. Moreover, success in preclinical studies or early-stage clinical trials does not mean that future clinical trials or registrational clinical trials will be successful because product candidates in later-stage clinical trials may fail to demonstrate sufficient safety and efficacy to the satisfaction of the FDA and comparable regulatory authorities outside the United States, despite having progressed through preclinical studies and initial clinical trials. Product candidates that have shown promising results in early clinical trials may suffer significant setbacks in subsequent clinical trials or registrational clinical trials. For example, a number of companies in the pharmaceutical industry have suffered significant setbacks in late-stage clinical trials, even after obtaining promising results in earlier-stage clinical trials. Similarly, interim results of a clinical trial do not necessarily predict final results.</w:t>
      </w:r>
    </w:p>
    <w:p>
      <w:pPr>
        <w:spacing w:after="0" w:line="196"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There is a high failure rate for biopharmaceutical products proceeding through clinical trials. A number of companies in the pharmaceutical and biotechnology industries have suffered significant setbacks in later stage clinical trials even after achieving promising results in earlier stage clinical trials. Data obtained from preclinical and clinical activities are subject to varying interpretations, which may delay, limit or prevent regulatory approval. In addition, regulatory delays or rejections may be encountered as a result of many factors, including changes in regulatory policy during the period of product development.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Applications for our product candidates could fail to receive regulatory approval for many reasons, including but not limited to the following:</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health authorities may disagree with the design, implementation or data analyses of our clinical trials;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health authorities may determine that our product candidate(s) do not have adequate risk-benefit ratio or have undesirable or unintended side effects, toxicities or other characteristics that preclude our obtaining marketing approval or prevent or limit commercial use;</w:t>
      </w:r>
    </w:p>
    <w:p>
      <w:pPr>
        <w:spacing w:after="0" w:line="81"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program may not be sufficiently broad or representative to assure efficacy and safety in the full population for which we seek approval;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health authorities may disagree with our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the submission of a BLA or other submission or to obtain regulatory approval in the United States or elsewhere;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00"/>
          </w:cols>
          <w:pgMar w:left="320" w:top="455" w:right="4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foreign health authorities may fail to approve the manufacturing processes, test procedures and specifications or facilities of third-party manufacturers with which we contract for clinical and commercial supplies;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foreign health authorities may significantly change in a manner rendering our clinical data insufficient for approval.</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Additionally, we have conducted, and may in the future conduct, clinical trials outside the United States. Although the FDA may accept data from clinical trials conducted outside the United States, acceptance of these data is subject to certain conditions imposed by the FDA and its determination that the trials also complied with all applicable U.S. laws and regulations. If the FDA does not accept the data from any clinical trials we conduct outside the United States, it would likely result in the need for additional trials, which would be costly and time-consuming and delay or halt our development of any future product candidates.</w:t>
      </w:r>
    </w:p>
    <w:p>
      <w:pPr>
        <w:spacing w:after="0" w:line="287" w:lineRule="exact"/>
        <w:rPr>
          <w:sz w:val="20"/>
          <w:szCs w:val="20"/>
          <w:color w:val="auto"/>
        </w:rPr>
      </w:pPr>
    </w:p>
    <w:p>
      <w:pPr>
        <w:jc w:val="both"/>
        <w:ind w:left="120" w:right="2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clinical trials for our product candidates are prolonged, delayed or stopped, we may be unable to obtain regulatory approval and commercialize our product candidates on a timely basis, or at all, which would require us to incur additional costs and delay our receipt of any product revenue.</w:t>
      </w:r>
    </w:p>
    <w:p>
      <w:pPr>
        <w:spacing w:after="0" w:line="2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currently evaluating zanidatamab in Phase 1, 2 and 3 clinical trials and zanidatamab zovodotin in a Phase 1 clinical trial in patients with recurrent or metastatic HER2 expressing solid tumors. We may experience delays in our ongoing or future preclinical studies or clinical trials, and we do not know whether future preclinical studies or clinical trials will begin on time, need to be redesigned, enroll an adequate number of patients on time or be completed on schedule, if at all. Clinical testing is expensive and can take many years to complete, and its outcome is inherently uncertain. Failure can occur at any time during clinical development, and, because our product candidates are in an early stage of development, there is a high risk of failure and we may never succeed in developing marketable products. The results of preclinical studies and early clinical trials of our product candidates may not be predictive of the results of later-stage clinical trials, particularly because early trials have smaller numbers of subjects tested. In addition, it is not uncommon for product candidates to exhibit unforeseen safety or efficacy issues, such as immunogenicity, when tested in humans despite promising results in preclinical animal models.</w:t>
      </w:r>
    </w:p>
    <w:p>
      <w:pPr>
        <w:spacing w:after="0" w:line="18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Under the Jazz Collaboration Agreement, Jazz has discretion on whether to continue our collaboration following receipt of top-line clinical data from our HERIZON-BTC-01 clinical trial. Jazz may decide to not continue the collaboration, and, as a result, we would not receive the $325 million payment under the agreement, and would also be ineligible to receive any future regulatory and commercial milestones or royalties following the automatic termination of the agreement. Additionally, the first $50 million upfront payment pursuant to the Jazz Collaboration Agreement is contingent upon receipt of HSR Clearance. While we expect to obtain HSR Clearance, there can be no guarantee that it will be received. Further, if HSR Clearance is not received by a certain date, either we or Jazz could terminate the Jazz Collaboration Agreement, in which case, we would not receive any of the upfront payments thereunder.</w:t>
      </w:r>
    </w:p>
    <w:p>
      <w:pPr>
        <w:spacing w:after="0" w:line="18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Any clinical trials that we may conduct may not demonstrate the safety and efficacy profiles necessary to obtain regulatory approval to market our product candidates. As we continue developing our product candidates, serious adverse events, undesirable side effects, or unexpected characteristics may emerge, causing us to abandon these product candidates or limit their development to more narrow uses or subpopulations in which the risk-benefit ratio is more acceptable.</w:t>
      </w:r>
    </w:p>
    <w:p>
      <w:pPr>
        <w:spacing w:after="0" w:line="180"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Patients treated with our product candidates may experience side effects or adverse events that are unrelated to our product candidates but may still impact the success of our clinical trials. The inclusion of patients with significant co-morbidities in our clinical trials may result in deaths or other adverse medical events due to an underlying condition or other therapies or medications that such patients may be using. Any of these events could prevent us from obtaining regulatory approval or achieving or maintaining market acceptance and impair our</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ability to commercialize our product candidates. In some instances, there can be significant variability in safety and efficacy results between different clinical trials of the same product candidate due to a variety of factors, including, but not limited to, changes in trial procedures set forth in protocols, differences in the size and type of the patient populations, changes in and adherence to the clinical trial protocols and the rate of dropout among clinical trial participants.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commencement or completion of these planned clinical trials could be substantially delayed or prevented by many factors, including:</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discussions with the FDA or other regulatory agencies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 or failure to obtain approval or agreement to commence a clinical trial in any of the countries where enrollment is planned;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funds required for a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on, or other regulatory objections to, a new or ongoing clinical trial;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manufacture sufficient supplies of the product candidate for our clinical trials;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reach agreement on acceptable clinical trial agreement terms or clinical trial protocols with prospective sites or contract research organizations, or CROs, the terms of which can be subject to extensive negotiation and may vary significantly among different sites or CROs;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to obtain institutional review board (“IRB”) approval to conduct a clinical trial at a prospective site;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 and enrollment;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patients to complete the clinical trial;</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enroll a sufficient number of patients in studies to ensure adequate statistical power to detect statistically significant treatment effects;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severe or unexpected drug-related adverse effects experienced by patients, including possible deaths;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efficacy during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our clinical trials by one or more clinical trial sites;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patients or clinical investigators to follow our clinical trial protocols;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by us or our CROs;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or clinical study sites failing to comply with the trial protocol or regulatory requirements or meet their contractual obligations to us in a timely manner, or at all, deviating from the protocol or dropping out of a study;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address any noncompliance with regulatory requirements or safety concerns that arise during the course of a clinical trial;</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becoming debarred or suspended or otherwise penalized by the FDA or foreign health authorities for violations of applicable regulatory requirements;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our product candidates to the clinical trial sites, including due to a facility manufacturing any of our product candidates or any of their</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080"/>
          </w:cols>
          <w:pgMar w:left="320" w:top="455"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spacing w:after="0" w:line="266" w:lineRule="auto"/>
        <w:rPr>
          <w:sz w:val="20"/>
          <w:szCs w:val="20"/>
          <w:color w:val="auto"/>
        </w:rPr>
      </w:pPr>
      <w:r>
        <w:rPr>
          <w:rFonts w:ascii="Times New Roman" w:cs="Times New Roman" w:eastAsia="Times New Roman" w:hAnsi="Times New Roman"/>
          <w:sz w:val="18"/>
          <w:szCs w:val="18"/>
          <w:color w:val="auto"/>
        </w:rPr>
        <w:t>components being ordered by the FDA or foreign health authorities to temporarily or permanently shut down due to violations of current good manufacturing practices (“cGMP”) regulations or other applicable requirements, or cross-contaminations of product candidates in the manufacturing process;</w:t>
      </w:r>
    </w:p>
    <w:p>
      <w:pPr>
        <w:spacing w:after="0" w:line="81" w:lineRule="exact"/>
        <w:rPr>
          <w:sz w:val="20"/>
          <w:szCs w:val="20"/>
          <w:color w:val="auto"/>
        </w:rPr>
      </w:pPr>
    </w:p>
    <w:p>
      <w:pPr>
        <w:ind w:left="1080" w:hanging="424"/>
        <w:spacing w:after="0"/>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repeat or terminate clinical trials as a result of inconclusive or negative results or unforeseen complications in testing;</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may be suspended or terminated upon a breach or pursuant to the terms of any agreement with, or for any other reason by, current or future strategic partners that have responsibility for the clinical development of any of our product candidates; and</w:t>
      </w:r>
    </w:p>
    <w:p>
      <w:pPr>
        <w:spacing w:after="0" w:line="67"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untimely or unfavorable feedback from applicable regulatory authorities regarding the trial or requests from regulatory authorities to modify the design of a trial.</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could also experience delays in physicians enrolling patients in clinical trials of our product candidates in lieu of prescribing existing treatments or other clinical trials. Furthermore, a clinical trial may be suspended or terminated by us, the IRBs for the institutions in which such trials are being conducted, the Data Monitoring Committee for such trial, or by the FDA or foreign health authorities due to a number of factors, including failure to conduct the clinical trial in accordance with regulatory requirements or our clinical protocols, inspection of the clinical trial operations or trial site by the FDA or foreign health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9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Securing regulatory approval also requires the submission of information about the manufacturing processes and inspection of manufacturing facilities by the relevant regulatory authority. The FDA or foreign health authorities may fail to approve our manufacturing processes or facilities, whether run by us or our CMOs. In addition, if we make manufacturing changes to our product candidates in the future, we may need to conduct additional preclinical and/or clinical studies to bridge our modified product candidates to earlier versions.</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Changes in regulatory requirements, policies and guidelines may also occur and we may need to significantly amend clinical trial protocols to reflect these changes with appropriate regulatory authorities. These changes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w:t>
      </w:r>
    </w:p>
    <w:p>
      <w:pPr>
        <w:spacing w:after="0" w:line="183"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Any failure or significant delay in commencing or completing clinical trials for our product candidates would adversely affect our ability to obtain regulatory approval, and our commercial prospects and ability to generate product revenue will be diminished.</w:t>
      </w:r>
    </w:p>
    <w:p>
      <w:pPr>
        <w:spacing w:after="0" w:line="162"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In addition, even if the trials are successfully completed, clinical data are often susceptible to varying interpretations and analyses, and we cannot guarantee that the FDA or foreign health authorities will interpret the results as we do, and more trials could be required before we submit our product candidates for approval. We cannot guarantee that the FDA or foreign health authorities will view any of our product candidates as having adequate safety and efficacy profiles even if favorable results are observed in these clinical trials, and we may receive unexpected or unfavorable feedback from the FDA or foreign health authorities regarding satisfaction of safety, purity and potency (including clinical efficacy), amongst other factors. To the extent that the results of the trials are not satisfactory to the FDA or foreign health authorities for support of a marketing application, approval</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of our product candidates may be significantly delayed, or we may be required to expend significant additional resources, which may not be available to us, to conduct additional trials in support of potential approval of our product candidates.</w:t>
      </w:r>
    </w:p>
    <w:p>
      <w:pPr>
        <w:spacing w:after="0" w:line="266" w:lineRule="exact"/>
        <w:rPr>
          <w:sz w:val="20"/>
          <w:szCs w:val="20"/>
          <w:color w:val="auto"/>
        </w:rPr>
      </w:pPr>
    </w:p>
    <w:p>
      <w:pPr>
        <w:ind w:left="120"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51"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Our future operating results are dependent in part on our ability to successfully discover, develop, obtain regulatory approval for and commercialize product candidates beyond those we currently have in clinical development. A product candidate can unexpectedly fail at any stage of preclinical and clinical development. Our investments in our early stage research and development efforts may not yield any promising product candidates. Even if our research and development efforts yield product candidates that advance into clinical studies, the historical failure rate for product candidates is high due to risks relating to safety, efficacy, clinical execution, changing standards of medical care and other unpredictable variables. The results from preclinical testing or early clinical trials of a product candidate may not be predictive of the results that will be obtained in later stage clinical trials of the product candidate.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success of other product candidates we may develop will depend on many factors, including the following:</w:t>
      </w:r>
    </w:p>
    <w:p>
      <w:pPr>
        <w:spacing w:after="0" w:line="131"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sufficient data to support the initiation or continuation of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permission to initiate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contracting with the necessary parties to conduct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of patients in, and the completion of, clinical trials on a timely basis;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timely manufacture of sufficient quantities of the product candidate for use in clinical trials;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events in the clinical trials.</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Even if we successfully advance any other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other product candidates.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or any of our partners, are unable to enroll patients in clinical trials, we will be unable to complete these trials on a timely basis or at all.</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Patient enrollment, a significant factor in the timing of clinical trials, is affected by many factors including the size and nature of the patient population, the proximity of subjects to clinical sites, the eligibility criteria for the trial, the design of the clinical trial, ability to obtain and maintain patient consents, risk that enrolled subjects will drop out before completion, competing clinical trials and clinicians’ and patients’ perceptions as to the potential advantages of the drug being studied in relation to other available therapies, including any new drugs that may be approved for the indications we are investigating. In particular, we are developing certain of our product candidates for the treatment of rare diseases, which have limited pools of patients from which to draw for clinical testing. If we, or any of our strategic partners that perform clinical tests for our product candidates, are unable to enroll a sufficient number of patients to complete clinical testing, we will be unable to gain marketing approval for such product candidates and our business will be harmed.</w:t>
      </w:r>
    </w:p>
    <w:p>
      <w:pPr>
        <w:spacing w:after="0" w:line="192"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the U.S. federal Right to Try Act, among other things, provides a federal framework for patients to access certain investigational new drug products that have completed a Phase 1 clinical trial. Under certain circumstances, eligible patients can seek treatment without enrolling in clinical trials and without obtaining FDA approval under the FDA expanded access program. While there is no obligation to make product candidates available to eligible patients as a result of the Right to Try Act, new and emerging legislation regarding expanded access to unapproved drugs could negatively impact enrollment in our clinical trials and our business in the future.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design or our execution of clinical trials may not support regulatory approval.</w:t>
      </w:r>
    </w:p>
    <w:p>
      <w:pPr>
        <w:spacing w:after="0" w:line="121"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design or execution of a clinical trial can determine whether its results will support regulatory approval, and flaws in the design or execution of a clinical trial may not become apparent until the clinical trial is well advanced. In some instances, there can be significant variability in safety or efficacy results between different trials of the same product candidate due to numerous factors, including changes in trial protocols, differences in size and type of the patient populations, adherence to the dosing regimen and other trial protocols and the rate of dropout among clinical trial participants. We do not know whether any Phase 2, Phase 3 or other clinical trials we or any of our strategic partners may conduct will demonstrate consistent or adequate efficacy and safety to obtain regulatory approval to market our product candidates.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Further, the FDA and comparable foreign regulatory authorities have substantial discretion in the approval process and in determining when or whether regulatory approval will be obtained for any of our product candidates. Our product candidates may not be approved even if they achieve their primary endpoints in any Phase 3 clinical trials or registration trials. The FDA or other non-U.S.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Phase 3 clinical trial that has the potential to result in FDA or other agencies’ approval.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292"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preliminary or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From time to time, we may publish interim, preliminary or topline data from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or topline data previously published. As a result, interim, preliminary and topline data should be viewed with caution until the final data are available. Adverse differences between interim, preliminary or topline data and final data could significantly harm our reputation and business prospects. Moreover, preliminary, interim and topline data are subject to the risk that one or more of the clinical outcomes may materially change as more patient data become available when patients mature on study, patient enrollment continues or as other ongoing or future clinical trials with a product candidate further develop. Past results of clinical trials may not be predictive of future results.</w:t>
      </w:r>
    </w:p>
    <w:p>
      <w:pPr>
        <w:spacing w:after="0" w:line="19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In addition, the information we choose to publicly disclose regarding a particular study or clinical trial is based on what is typically more extensive information, and you or others may not agree with what we determine is the material or otherwise appropriate information to include in our disclosure. Any information we determine not to disclose may ultimately be deemed significant with respect to future decisions, conclusions, views, activities or otherwise regarding a particular product candidate or our business. Similarly, even if we are able to complete our planned and ongoing preclinical studies and clinical trials of our product candidates according to our current development timeline, the positive results from such preclinical studies and clinical trials of our product candidates may not be replicated in subsequent preclinical studies or clinical trial results.</w:t>
      </w:r>
    </w:p>
    <w:p>
      <w:pPr>
        <w:spacing w:after="0" w:line="187"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00"/>
          </w:cols>
          <w:pgMar w:left="320" w:top="455"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nonclinical findings made while clinical trials were underway or safety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FDA or other regulatory approval.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has been and may continue to be adversely affected by the COVID-19 pandemic.</w:t>
      </w:r>
    </w:p>
    <w:p>
      <w:pPr>
        <w:spacing w:after="0" w:line="121"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The COVID-19 pandemic has had a broad adverse impact on the global economy across many industries and has resulted in significant governmental measures being implemented to control the spread of the virus, including quarantines, travel restrictions and business shutdowns, as well as significant volatility in global financial markets. As a result of COVID-19, in March 2020, we transitioned our workforce to a remote working arrangement to protect the health and safety of our employees. In June 2020, we implemented a program to facilitate the phased return of employees to our lab and office facilities pursuant to enhanced health and safety protocols consistent with guidelines issued by local health authorities. Our preclinical research activities were supplemented by support from external CROs to complement the temporarily reduced capacity at our lab facilities. Certain clinical trial activities, including patient enrollment and site activations, were delayed or otherwise impacted by COVID-19.</w:t>
      </w:r>
    </w:p>
    <w:p>
      <w:pPr>
        <w:spacing w:after="0" w:line="18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extent to which COVID-19 may cause more significant disruptions to our business and greater impacts to our operations will depend on future developments, which are highly uncertain and cannot be predicted, such as the location, duration and severity of outbreaks (including future potential waves or cycles), travel restrictions and social distancing, business closures or disruptions and the effectiveness of actions taken to contain and treat the disease and to address its impact, including on financial markets. A lack of coordinated response on risk mitigation and global vaccination deployment with respect to the COVID-19 pandemic could result in significant increases to the duration and severity of the pandemic and could have a corresponding negative impact on our business. Insufficient vaccine availability, reduced effectiveness of vaccines over time or against new variants, or resistance to vaccination by certain persons may result in increasing infection and hospitalization rates, which have been and could be further complicated by the emergence of more virulent or infectious variants of the virus. For example, new waves of infections from several COVID-19 subvariants have in some cases led to record infections and increased hospitalizations and fatalities in certain geographic regions.</w:t>
      </w:r>
    </w:p>
    <w:p>
      <w:pPr>
        <w:spacing w:after="0" w:line="188"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If the COVID-19 pandemic worsens or continues for a prolonged period of time, particularly in regions where we or our strategic partners and suppliers do business, we could experience disruptions that could significantly impact our current and planned clinical trials, preclinical research and other business activities, including:</w:t>
      </w:r>
    </w:p>
    <w:p>
      <w:pPr>
        <w:spacing w:after="0" w:line="8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and delays in preclinical research activities due to extended closure or reduced capacity of lab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delays or difficulties in enrolling patients in our ongoing and planned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discontinuing their treatment or follow-up visits;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delays or difficulties in clinical site initiation, including limitations on access to sites, limitations to site initiation activities that can be carried out remotely, and limitations on the number of clinical site staff on site from time to time;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clinical trial activities, such as clinical trial site monitoring, due to limitations on travel imposed or recommended by federal or state governments, employers and others;</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disruptions in supply, logistics or other activities related to the procurement of materials and other supplies, which could have a negative impact on our ability to conduct preclinical research, initiate or complete our clinical trials or commercialize our product candidates;</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060"/>
          </w:cols>
          <w:pgMar w:left="320" w:top="455" w:right="5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key business activities due to illness and/or quarantine of key individuals and delays associated with recruiting, hiring and training new temporary or permanent replacements for such key individuals, both internally and at our third-party service providers and strategic partners;</w:t>
      </w:r>
    </w:p>
    <w:p>
      <w:pPr>
        <w:spacing w:after="0" w:line="81" w:lineRule="exact"/>
        <w:rPr>
          <w:rFonts w:ascii="Times New Roman" w:cs="Times New Roman" w:eastAsia="Times New Roman" w:hAnsi="Times New Roman"/>
          <w:sz w:val="18"/>
          <w:szCs w:val="18"/>
          <w:color w:val="auto"/>
        </w:rPr>
      </w:pPr>
    </w:p>
    <w:p>
      <w:pPr>
        <w:ind w:left="1080" w:right="5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resources that would otherwise be focused on the conduct of our business or our current or planned clinical trials or preclinical research, including because of sickness, the desire to avoid contact with large groups of people, restrictions on travel, or prolonged stay-at-home or similar working arrangements;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approvals from regulatory authorities to initiate our planned clinical trials;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as part of a response to the COVID-19 pandemic which may require us to change the ways in which our clinical trials are conducted and incur unexpected costs, or require us to discontinue clinical trials altogether;</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regulators (including the FDA), ethics committees and other important agencies and contractors due to limitations in employee resources or furlough of government or contractor personnel;</w:t>
      </w:r>
    </w:p>
    <w:p>
      <w:pPr>
        <w:spacing w:after="0" w:line="67"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our strategic partners’ operations, which could delay the development of our product candidates in certain geographical regions and thereby affect the timing of development and commercial milestone payments and royalties on potential future product sales we may receive; and</w:t>
      </w:r>
    </w:p>
    <w:p>
      <w:pPr>
        <w:spacing w:after="0" w:line="81"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recruit any necessary preclinical research, clinical, regulatory and other professional staff on the timeframe required to support our research and development programs.</w:t>
      </w:r>
    </w:p>
    <w:p>
      <w:pPr>
        <w:spacing w:after="0" w:line="162"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 addition, COVID-19 could result in the continued significant disruption of global financial markets, reducing our ability to access capital, which could negatively affect our liquidity. COVID-19 has resulted in heightened financial market volatility that may continue, which could adversely impact the value of our common stock.</w:t>
      </w:r>
    </w:p>
    <w:p>
      <w:pPr>
        <w:spacing w:after="0" w:line="280"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Fast Track and Breakthrough Therapy designations we have received for zanidatamab may not result in faster development, regulatory review or approval process.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FDA has granted Fast Track designations to zanidatamab for the first-line treatment of patients with HER2-overexpressing gastroesophageal adenocarcinomas, or GEA, in combination with standard of care chemotherapy and for refractory gene-amplified BTC. These Fast Track designations do not ensure that we will experience a faster development, regulatory review or approval process compared to conventional FDA procedures or that we will ultimately obtain regulatory approval. Additionally, the FDA may withdraw Fast Track designation if it believes that the designation is no longer supported by data from our clinical development program. The FDA also granted Breakthrough Therapy designation for zanidatamab in patients with previously-treated HER2 gene-amplified BTC. While we anticipate meeting with the FDA in 2023 to discuss the data readout from the HERIZON-BTC-01 study in support of submitting a BLA for zanidatamab in patients with previously-treated HER2 gene-amplified BTC, the receipt of a Breakthrough Therapy designation for a product candidate may not ultimately result in a faster development process or review, and it does not in any way assure approval of a product candidate by the FDA. In addition, designation as a Breakthrough Therapy is within the discretion of the FDA and the FDA may decide to rescind a Breakthrough Therapy designation if it believes that a designated product candidate no longer meets the conditions for qualification of this program. If our clinical development program is suspended, terminated, or put on clinical hold due to unexpected adverse events or other issues, including clinical supply issues, we may not realize all the benefits associated with the Fast Track designation. Furthermore, Fast Track designation does not change the standards for approval, and the designation alone does not guarantee qualification for the FDA’s priority review procedures.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Development of product candidates in combination with other therapies could expose us to additional risks.</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Even if any of our product candidates were to receive marketing approval or be commercialized for use in combination with other existing therapies, we would continue to be subject to the risks that the FDA, the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European Medicines Agency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w:t>
      </w:r>
    </w:p>
    <w:p>
      <w:pPr>
        <w:spacing w:after="0" w:line="194"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84"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 candidates from being developed, or approved or commercialized in a timely manner or at all, which could negatively impact our business.</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clear or approve new product candidates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 Disruptions at the FDA and other agencies, such as government shutdowns and furloughs, may also slow the time necessary for new product candidates to be reviewed and/or approved by necessary government agencies, which would adversely affect our business. In response to the COVID-19 pandemic and travel restrictions, the FDA has issued industry guidance regarding plans to employ remote interactive evaluations and risk management methods, among other considerations, to meet user fee commitments and goal dates as well as plans toward resuming standard operational levels. Additional policies or changes to current policies may be implemented in the future. If global health concerns continue to prevent the FDA or other regulatory authorities from conducting their regular inspections, reviews, or other regulatory activities,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spacing w:after="0" w:line="29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 and we may discontinue or reprioritize the development of any of our product candidates at any time, at our discretion.</w:t>
      </w:r>
    </w:p>
    <w:p>
      <w:pPr>
        <w:spacing w:after="0" w:line="5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Before obtaining regulatory approval for the commercial distribution of our product candidates, we must conduct, at our own expense, extensive preclinical tests and clinical trials to demonstrate the safety and efficacy of our product candidates in humans. Preclinical and clinical testing is expensive, difficult to design and implement, can take many years to complete and is uncertain as to outcome. Additionally, the results from nonclinical testing or early clinical trials of a product candidate may not predict the results that will be obtained in subsequent human clinical trials of that product candidate. There is a high failure rate for drugs proceeding through clinical studies. A number of companies in the pharmaceutical and biotechnology industries have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suffered significant setbacks in clinical development even after achieving promising results in earlier studies, and any such setbacks in any future clinical development could have a material adverse effect on our business and operating results. Alternatively, management may elect to discontinue development of certain product candidates to accommodate a shift in corporate strategy, despite positive clinical results. Based on our operating results and business strategy, among other factors, we may discontinue the development of any of our product candidates under development or reprioritize our focus on other product candidates at any time and at our discretion.</w:t>
      </w:r>
    </w:p>
    <w:p>
      <w:pPr>
        <w:spacing w:after="0" w:line="183" w:lineRule="exact"/>
        <w:rPr>
          <w:sz w:val="20"/>
          <w:szCs w:val="20"/>
          <w:color w:val="auto"/>
        </w:rPr>
      </w:pPr>
    </w:p>
    <w:p>
      <w:pPr>
        <w:ind w:left="120" w:right="40"/>
        <w:spacing w:after="0" w:line="277" w:lineRule="auto"/>
        <w:rPr>
          <w:sz w:val="20"/>
          <w:szCs w:val="20"/>
          <w:color w:val="auto"/>
        </w:rPr>
      </w:pPr>
      <w:r>
        <w:rPr>
          <w:rFonts w:ascii="Times New Roman" w:cs="Times New Roman" w:eastAsia="Times New Roman" w:hAnsi="Times New Roman"/>
          <w:sz w:val="17"/>
          <w:szCs w:val="17"/>
          <w:color w:val="auto"/>
        </w:rPr>
        <w:t>Additionally, because we have limited financial and managerial resources, we focus on research programs, therapeutic platforms and product candidates that we identify for specific indications. As a result, we may forgo or delay pursuit of opportunities with other therapeutic platforms or product candidates or for other indications that later prove to have greater commercial potential.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72"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have undesirable side effects that may delay or prevent marketing approval or, if approval is received, require them to be taken off the market, require them to include safety warnings or otherwise limit their sales; no regulatory agency has made any determination that any of our product candidates are safe or effective for use by the general public for any indication.</w:t>
      </w:r>
    </w:p>
    <w:p>
      <w:pPr>
        <w:spacing w:after="0" w:line="6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All of our product candidates are still in preclinical or clinical development. Consequently, all of our product candidates are required to undergo ongoing safety testing in humans as part of clinical trials. Unforeseen side effects from any of our product candidates could arise either during clinical development or, if approved by regulatory authorities, after the approved product has been marketed. Zanidatamab and zanidatamab zovodotin continue to be evaluated in clinical trials, and the results of these and future clinical trials may show that zanidatamab, zanidatamab zovodotin or our other product candidates cause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limited patient populations or potential product liability claims. Even if we believe that our clinical trials and preclinical studies demonstrate the safety and efficacy of our product candidates, only the FDA and other comparable regulatory agencies may ultimately make such determination. No regulatory agency has made any such determination that any of our product candidates are safe or effective for use by the general public for any indication.</w:t>
      </w:r>
    </w:p>
    <w:p>
      <w:pPr>
        <w:spacing w:after="0" w:line="194"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If any of our product candidates receive marketing approval and we or others later identify undesirable or unacceptable side effects caused by such products:</w:t>
      </w:r>
    </w:p>
    <w:p>
      <w:pPr>
        <w:spacing w:after="0" w:line="67"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 off the market;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 or impose a risk evaluation and mitigation strategy that includes restrictions and conditions on product distribution, prescribing and/or dispensing;</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conduct additional clinical trials or change the labeling of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product may decrease significantly;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or our current or future strategic partners from achieving or maintaining market acceptance of the affected product or could substantially increase commercialization costs and expenses, which in turn could delay or prevent us from generating revenue from the sale of any future products.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life sciences industry is highly competitive and subject to rapid and significant technological change. We are currently developing biotherapeutics that will compete with other drugs and therapies that currently exist or are being developed. Products we may develop in the future are also likely to face competition from other drugs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in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or FDA approval or discovering, developing and commercializing products in our field before we do.</w:t>
      </w:r>
    </w:p>
    <w:p>
      <w:pPr>
        <w:spacing w:after="0" w:line="190"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treatments for cancer and autoimmune disorders, including many major pharmaceutical and biotechnology companies. These treatments consist both of small-molecule drug products, as well as biologics that work by using next-generation antibody therapeutic platforms to address specific cancer targets. These companies include MacroGenics, Inc., AstraZeneca PLC/Daiichi Sankyo, Roche AG, Seagen and others.</w:t>
      </w:r>
    </w:p>
    <w:p>
      <w:pPr>
        <w:spacing w:after="0" w:line="180"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more convenient or less expensive than any products that we may develop. Our competitors also may obtain FDA or other regulatory approval for their products more rapidly than we may obtain approval for our product candidates, which could result in our competitors establishing a strong market position before we are able to enter the market.</w:t>
      </w:r>
    </w:p>
    <w:p>
      <w:pPr>
        <w:spacing w:after="0" w:line="180" w:lineRule="exact"/>
        <w:rPr>
          <w:sz w:val="20"/>
          <w:szCs w:val="20"/>
          <w:color w:val="auto"/>
        </w:rPr>
      </w:pPr>
    </w:p>
    <w:p>
      <w:pPr>
        <w:ind w:left="120" w:right="240"/>
        <w:spacing w:after="0" w:line="256"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18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addition, we expect to compete with biosimilar versions of already approved products like trastuzumab or pertuzumab, and even if our product candidates achieve marketing approval, they may be challenged to achieve a price premium over competitive biosimilar products and will compete for market share with them.</w:t>
      </w:r>
    </w:p>
    <w:p>
      <w:pPr>
        <w:spacing w:after="0" w:line="176" w:lineRule="exact"/>
        <w:rPr>
          <w:sz w:val="20"/>
          <w:szCs w:val="20"/>
          <w:color w:val="auto"/>
        </w:rPr>
      </w:pPr>
    </w:p>
    <w:p>
      <w:pPr>
        <w:ind w:left="120" w:right="380"/>
        <w:spacing w:after="0" w:line="256"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which is included in the Patient Protection and Affordable Care Act (the “PPACA”), authorized the FDA to approve similar versions of innovative biologics, commonly known as biosimilars. Under the PPACA, a manufacturer may submit an application for licensure of a biologic product that is “biosimilar to” or “interchangeable with” a previously approved biologic product or “reference product.” Manufacturers may not submit an application for a biosimilar to the FDA until four years following approval of the reference product, and the FDA may not approve a biosimilar product until 12 years from the date on which the reference product was approved. Even if our product candidates, if approved, are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deemed to be reference products eligible for exclusivity, another company could market a competing version of that product if the FDA approves a full BLA for such product containing the sponsor’s own preclinical data and data from adequate and well-controlled clinical trials to demonstrate the safety, purity and potency of their product. Additionally, from time to time, there are proposals to repeal or modify the PPACA, including proposals that could significantly shorten the exclusivity period for biologics.</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receive regulatory approval, the approved products may not achieve broad market acceptance among physicians, patients, the medical community and third-party payors, in which case revenue generated from their sales would be limited.</w:t>
      </w:r>
    </w:p>
    <w:p>
      <w:pPr>
        <w:spacing w:after="0" w:line="51"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commercial success of our product candidates will depend upon their acceptance among physicians, patients and the medical community. The degree of market acceptance of our product candidates will depend on a number of factors, including:</w:t>
      </w:r>
    </w:p>
    <w:p>
      <w:pPr>
        <w:spacing w:after="0" w:line="67"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contained in the approved labeling for a product candidate;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for the targeted indications for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the approved clinical indications for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demonstrated clinical safety and efficacy compared to other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marketing and distribution support;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extent of reimbursement from managed care plans and other third-party payors;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and perceived effectiveness of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alternative therapies at similar or lower cost, including generic, biosimilar and over-the-counter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product candidate is approved for inclusion on formularies of hospitals and managed care organizations;</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is designated under physician treatment guidelines as a first-line therapy or as a second- or third-line therapy for particular diseases;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can be used effectively with other therapies to achieve higher response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our product candidates or favorable publicity about competitive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of our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jc w:val="both"/>
        <w:ind w:left="120" w:right="140"/>
        <w:spacing w:after="0" w:line="289" w:lineRule="auto"/>
        <w:rPr>
          <w:sz w:val="20"/>
          <w:szCs w:val="20"/>
          <w:color w:val="auto"/>
        </w:rPr>
      </w:pPr>
      <w:r>
        <w:rPr>
          <w:rFonts w:ascii="Times New Roman" w:cs="Times New Roman" w:eastAsia="Times New Roman" w:hAnsi="Times New Roman"/>
          <w:sz w:val="17"/>
          <w:szCs w:val="17"/>
          <w:color w:val="auto"/>
        </w:rPr>
        <w:t>If any of our product candidates are approved, but do not achieve an adequate level of acceptance by physicians, patients and the medical community, we may not generate sufficient revenue from these products, and we may not become or remain profitable. In addition, efforts to educate the medical community and third-party payors on the benefits of our product candidates may require significant resources and may never be successful.</w:t>
      </w:r>
    </w:p>
    <w:p>
      <w:pPr>
        <w:spacing w:after="0" w:line="262"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orphan drug exclusivity in specific indications for zanidatamab or in future product candidates that we may develop. If our competitors are able to obtain orphan product exclusivity for their products in specific indications, we may not be able to have competing products approved in those indications by the applicable regulatory authority for a significant period of time.</w:t>
      </w:r>
    </w:p>
    <w:p>
      <w:pPr>
        <w:spacing w:after="0" w:line="6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 FDA has granted Orphan Drug Designation to zanidatamab for the treatment of BTC and GEA, the EMA has granted Orphan Drug Designation to zanidatamab for the treatment of gastric cancer and BTC, and we may seek Orphan Drug Designation for additional indications in the future. Orphan Drug Designation neither shortens the development time or regulatory review time of a drug nor gives the drug any advantage in the regulatory review or approval process.</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040"/>
          </w:cols>
          <w:pgMar w:left="320" w:top="455" w:right="5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Generally, if a product candidate with an Orphan Drug Designation subsequently receives the first marketing approval for the indication for which it has such designation, the product is entitled to a period of marketing exclusivity, which precludes the EMA or the FDA from approving another marketing application for the same drug for the same indication for that time period. The applicable period is seven years in the United States and ten years in Europe. The European exclusivity period can be reduced to six years if a product no longer meets the criteria for Orphan Drug Designation or if the product is sufficiently profitable so that market exclusivity is no longer justified. Orphan drug exclusivity may be lost if the FDA or EMA determines that the request for designation was materially defective or if the manufacturer is unable to assure sufficient quantity of the product to meet the needs of patients with the rare disease or condition. The loss of Orphan Drug Designation could have a negative effect on our ability to successfully commercialize our product candidates, earn revenues and achieve profitability.</w:t>
      </w:r>
    </w:p>
    <w:p>
      <w:pPr>
        <w:spacing w:after="0" w:line="19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Even if we obtain orphan drug exclusivity for zanidatamab, or for any other product candidates that receive an Orphan Drug Designation in the future, that exclusivity may not effectively protect the product from competition because different drugs with different active moieties can be approved for the same condition. Further, in the United States, even after an orphan drug is approved, the FDA can subsequently approve the same drug for the same condition submitted by a competitor if the FDA concludes that the later drug is clinically superior in that it is shown to be safer, more effective or makes a major contribution to patient care. If we are unable to manufacture sufficient supply of our product to meet the needs of patients, the FDA can withdraw our orphan exclusive marketing rights or approve another marketing application for the same drug product before the expiration of the exclusivity period.</w:t>
      </w:r>
    </w:p>
    <w:p>
      <w:pPr>
        <w:spacing w:after="0" w:line="293"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5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region to region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harmed.</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ability to eventually generate significant revenues from product sales will depend on a number of factors, including:</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completion of preclinical studies;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investigational new drug applications or other regulatory applications for our planned clinical trials or future clinical trials and authorizations from regulators to initiate clinical studies;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favorable results from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2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sufficient manufacturing capabilities, whether internally or with third parties, for clinical and commercial supply;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pricing, reimbursement, and hospital formulary access;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combination with other products;</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and commercialization activities;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successful marketing and reimbursement strategies;</w:t>
      </w:r>
    </w:p>
    <w:p>
      <w:pPr>
        <w:spacing w:after="0" w:line="130"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trade secret and other intellectual property protection and regulatory exclusivity for our product candidates;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any product following approval, if any.</w:t>
      </w:r>
    </w:p>
    <w:p>
      <w:pPr>
        <w:spacing w:after="0" w:line="22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If we do not achieve one or more of these requirements in a timely manner, we could experience significant delays or an inability to successfully commercialize our product candidates, which would materially harm our business.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cannot be certain that our clinical trials will be initiated and completed on time, if at all, or whether our planned clinical strategy will be acceptable to the FDA or foreign health authorities. In addition, the COVID-19 pandemic is still evolving, and it is impossible to predict the impact this pandemic may have on the development of our product candidates, our preclinical studies and clinical trials, and our business. To become and remain profitable, we must develop, obtain approval for and eventually commercialize products, if approved, that generate significant revenue. In addition, it is not uncommon for product candidates to exhibit unforeseen safety issues or inadequate efficacy when tested in humans despite promising results in preclinical animal models or earlier trials, and we may ultimately be unable to demonstrate adequate safety and efficacy of our product candidates to obtain marketing approval. Even if we obtain approval and begin commercializing one or more of our product candidates, we may never generate revenue that is significant or large enough to achieve profitability.</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Even if we succeed in commercializing one or more of our product candidates, we will continue to incur substantial research and development, manufacturing and other expenditures to develop and market additional product candidates. Our failure to become or remain profitable would decrease the value of the company and could impair our ability to raise capital, maintain our research and development efforts, expand our business or continue our operations.</w:t>
      </w:r>
    </w:p>
    <w:p>
      <w:pPr>
        <w:spacing w:after="0" w:line="284" w:lineRule="exact"/>
        <w:rPr>
          <w:sz w:val="20"/>
          <w:szCs w:val="20"/>
          <w:color w:val="auto"/>
        </w:rPr>
      </w:pPr>
    </w:p>
    <w:p>
      <w:pPr>
        <w:ind w:left="120"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5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drugs vary widely from country to country. Many countries require approval of the sale price of a drug before it can be marketed. The pricing review period begins after marketing or product licensing approval is granted in most cases. In some foreign markets, prescription 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revenues we are able to generate from the sale of the product in that country.</w:t>
      </w:r>
    </w:p>
    <w:p>
      <w:pPr>
        <w:spacing w:after="0" w:line="187"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adequate reimbursement for these products and related treatments will be available from government health</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020"/>
          </w:cols>
          <w:pgMar w:left="320" w:top="455" w:right="5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administration authorities, private health insurers and other third-party payors. In many jurisdictions, a product candidate must be approved for reimbursement before it can be approved for sale in that jurisdiction. Obtaining coverage and reimbursement approval of a product from a government or other third-party payor is a time-consuming and costly process that could require us to provide to the payor supporting scientific, clinical and cost-effectiveness data for the use of our products. If we are not currently capturing the scientific and clinical data that will be required for reimbursement approval, we may be required to conduct additional trials, which may delay or suspend reimbursement approval. Additionally, in the United States, no uniform policy of coverage and reimbursement for products exists among third-party payors. Therefore, coverage and reimbursement for products can differ significantly from payor to payor. As a result, the coverage determination process is often a time-consuming and costly process that will require us to provide scientific and clinical support for the use of a product candidate that receives regulatory approval to each payor separately, with no assurance that coverage and adequate reimbursement will be obtained.</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We cannot be certain that reimbursement will be available for any products that we develop. If reimbursement is not available or is available on a limited basis, we may not be able to successfully commercialize any of our approved products.</w:t>
      </w:r>
    </w:p>
    <w:p>
      <w:pPr>
        <w:spacing w:after="0" w:line="183"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In the United States, the Medicare Prescription Drug, Improvement, and Modernization Act of 2003, also called the Medicare Modernization Act (“MMA”), changed the way Medicare covers and pays for pharmaceutical products. The legislation established Medicare Part D, which expanded Medicare coverage for outpatient prescription drug purchases by the elderly but provided authority for limiting the number of drugs that will be covered in any therapeutic class. The MMA also introduced a new reimbursement methodology based on average sales prices for physician-administered drugs. We expect to experience pricing pressures in connection with the sale of any products that we develop, due to the trend toward managed healthcare, the increasing influence of health maintenance organizations and additional legislative proposals. Congress is currently considering legislation that, if passed, could have significant impact on prices of prescription drugs covered by Medicare, including limitations on drug price increases and allowing Medicare to negotiate drug pricing for certain drugs. The implementation of cost containment measures or other healthcare reforms may prevent us from being able to generate revenue, attain profitability, or commercialize our product candidates if approved.</w:t>
      </w:r>
    </w:p>
    <w:p>
      <w:pPr>
        <w:spacing w:after="0" w:line="188"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EMA or other regulatory authorities.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currently restrict imports of drugs from countries where they may be sold at lower prices than in the United States. Our or any collaborator’s inability to promptly obtain coverage and profitable payment rates from both government-funded and private payors for any approved products that we or our strategic partners develop could have a material adverse effect on our operating results, our ability to raise capital needed to commercialize product candidates and our overall financial condition.</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strategic partners develop are smaller than we believe they are, our revenue may be adversely affected and our business may suffer.</w:t>
      </w:r>
    </w:p>
    <w:p>
      <w:pPr>
        <w:spacing w:after="0" w:line="5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We intend to initially focus our independent product candidate development on treatments for oncology. Our projections of addressable patient populations that have the potential to benefit from treatment with our product candidates are based on estimates. If our projections are inaccurate, the market opportunities for any of our product candidates could be significantly diminished and have an adverse material impact on our business.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our therapeutic platforms to build a pipeline of product candidates.</w:t>
      </w:r>
    </w:p>
    <w:p>
      <w:pPr>
        <w:spacing w:after="0" w:line="121"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We intend to use our therapeutic platforms to build a pipeline of product candidates and progress these product candidates through clinical development for the treatment of a variety of diseases. Although our research and development efforts to date have resulted in a pipeline of product candidates directed at various cancers, we may not be able to develop product candidates that are safe and effective. In addition, although we expect that our therapeutic platforms will allow us to develop further product candidates, they may not prove to be successful at doing so.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 in future periods, which could result in significant harm to our financial position and adversely affect our stock price.</w:t>
      </w:r>
    </w:p>
    <w:p>
      <w:pPr>
        <w:spacing w:after="0" w:line="276" w:lineRule="exact"/>
        <w:rPr>
          <w:sz w:val="20"/>
          <w:szCs w:val="20"/>
          <w:color w:val="auto"/>
        </w:rPr>
      </w:pPr>
    </w:p>
    <w:p>
      <w:pPr>
        <w:ind w:left="120"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to commercialize any of the product candidates that we develop, we will be subject to ongoing regulatory obligations and continued regulatory review, which may result in significant additional expense.</w:t>
      </w:r>
    </w:p>
    <w:p>
      <w:pPr>
        <w:spacing w:after="0" w:line="51"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including Phase 4 clinical trials, and surveillance to monitor the safety and efficacy of the marketed product.</w:t>
      </w:r>
    </w:p>
    <w:p>
      <w:pPr>
        <w:spacing w:after="0" w:line="176"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For any approved product,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 and good clinical practice (“GCP”), for any clinical trials that we or our strategic partners conduct after 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93"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 from the market or voluntary or mandatory product recalls;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clinical trials;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EMA or another applicable regulatory authority to approve pending applications or supplements to approved applications filed by us or our strategic partners, or suspension or revocation of product license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Occurrence of any of the foregoing could have a material and adverse effect on our business and results of operations. Further, the FDA’s or other ex-U.S. regulators’ policies may change and additional government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FDA strictly regulates manufacturers’ promotional claims of drug products. In particular, a drug product may not be promoted by manufacturers for uses that are not approved by the FDA, as reflected in the FDA-approved labeling, although healthcare professionals are permitted to use drug products for off-label uses. The FDA, the Department of Justice, the Inspector General of the Department of Health and Human Services, among other government agencies, actively enforce the laws and regulations prohibiting manufacturers’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any product liability lawsuits are successfully brought against us or any of our strategic partners, we may incur substantial liabilities and may be required to limit commercialization of our product candidates.</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face an inherent risk of product liability lawsuits related to the testing of our product candidates in seriously ill patients, and will face an even greater risk if product candidates are approved by regulatory authorities and introduced commercially. Product liability claims may be brought against us or our strategic partners by participants enrolled in our clinical trials, patients, health care providers or others using, administering or selling any of our future approved products. If we cannot successfully defend ourselves against any such claims, we may incur substantial liabilities. Regardless of their merit or eventual outcome, liability claims may result in:</w:t>
      </w:r>
    </w:p>
    <w:p>
      <w:pPr>
        <w:spacing w:after="0" w:line="89"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future approved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litigation costs;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or costly settlement with, patients or other claimants;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they may be used;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25"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may need to have in place increased product liability coverage when we begin the commercialization of our product candidates. Insurance coverage is becoming increasingly expensive. As a result,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spacing w:after="0" w:line="183"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Patients with cancer and other diseases targeted by our product candidates are often already in severe and advanced stages of disease and have both known and unknown significant pre-existing and potentially life-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 candidates, or require us to suspend or abandon our commercialization efforts. Even in a circumstance in which we do not believe that an adverse event is related to our product candidates,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75" w:lineRule="exact"/>
        <w:rPr>
          <w:sz w:val="20"/>
          <w:szCs w:val="20"/>
          <w:color w:val="auto"/>
        </w:rPr>
      </w:pPr>
    </w:p>
    <w:p>
      <w:pPr>
        <w:ind w:left="120"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of our third-party manufacturers encounter manufacturing difficulties, our ability to provide supply of our product candidates for clinical trials or our products for patients, if approved, could be delayed or prevented.</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 manufacture of biological drug products is complex and requires significant expertise and capital investment, including the development of advanced manufacturing techniques, process and quality controls. Manufacturers of biologic products often encounter difficulties in production and sourcing, particularly in scaling up or out, validating the production process and assuring high reliability of the manufacturing processes (including the absence of contamination), in light of variations and supply constraints of key components. These problems include logistics and shipping, difficulties with production costs and yields, quality control, including consistency, stability, purity and efficacy of the product, product testing, operator error and availability of qualified personnel, as well as compliance with applicable federal, state and foreign regulations. If contaminants are discovered in our supply of our product candidates or in the manufacturing facilities, such manufacturing facilities may need to be closed for an extended period of time to investigate and remedy the contamination. We cannot assure you that any stability, purity, and efficacy failures, deficiencies, or other issues relating to the manufacture of our product candidates will not occur in the future. Our research and development activities also involve the controlled use of potentially hazardous substances, including chemical and biological materials, by our third-party manufacturers. While we currently outsource all manufacturing to third parties, we and our manufacturers are subject to federal, state and local laws and regulations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and any related liability, resulting from medical or hazardous materials.</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Material modifications in methods of product candidate manufacturing or formulation may result in additional costs or delay.</w:t>
      </w:r>
    </w:p>
    <w:p>
      <w:pPr>
        <w:spacing w:after="0" w:line="121" w:lineRule="exact"/>
        <w:rPr>
          <w:sz w:val="20"/>
          <w:szCs w:val="20"/>
          <w:color w:val="auto"/>
        </w:rPr>
      </w:pPr>
    </w:p>
    <w:p>
      <w:pPr>
        <w:jc w:val="both"/>
        <w:ind w:left="120" w:right="160"/>
        <w:spacing w:after="0" w:line="266"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late-stage clinical trials towards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w:t>
      </w:r>
    </w:p>
    <w:p>
      <w:pPr>
        <w:spacing w:after="0" w:line="176"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or our strategic partners’ ability, to commence product sales and generate revenue.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Strategic transactions could disrupt our business, cause dilution to our stockholders and otherwise harm our business.</w:t>
      </w:r>
    </w:p>
    <w:p>
      <w:pPr>
        <w:spacing w:after="0" w:line="121"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For example, we may acquire other businesses, products or technologies as well as pursue strategic alliances, joint ventures, investments in complementary businesses, out-licensing agreements, divestitures or other transactions. Any of these transactions could be material to our financial condition and operating results and expose us to many risks, including:</w:t>
      </w:r>
    </w:p>
    <w:p>
      <w:pPr>
        <w:spacing w:after="0" w:line="8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existing strategic partners or suppliers as a result of such a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associated with the other party to such a transaction, including the prospects of that party and their existing products or product candidates and marketing approvals;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25"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strategic transaction may not materialize or such strategic transaction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any future strategic alliances, joint ventures, investments, acquisitions, divestitures or other strategic transactions, or the effect that any such transactions might have on our operating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Many governments impose strict price controls, which may adversely affect our future profitability.</w:t>
      </w:r>
    </w:p>
    <w:p>
      <w:pPr>
        <w:spacing w:after="0" w:line="12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many countries, particularly in those in the European Union (“EU”), prescription drug pricing and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strategic partners may be required to conduct a clinical trial that compares the cost-effectiveness of our product candidates to other available therapies.</w:t>
      </w:r>
    </w:p>
    <w:p>
      <w:pPr>
        <w:spacing w:after="0" w:line="180"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Some countries require approval of the sale price of a drug before it can be marketed. In many countries, the pricing review period begins after marketing or product licensing approval is granted. In some markets, prescription pharmaceutical pricing remains subject to continuing governmental control even after initial approval is granted. As a result, we or our strategic partners might obtain marketing approval for a product candidate in a particular country, but then be subject to price regulations that delay commercial launch of the product candidate, possibly for lengthy time periods, and negatively impact the revenue that is generated from the sale of the product in that country. If reimbursement of such product candidates is unavailable or limited in scope or amount, if pricing is set at unsatisfactory levels, or if there is competition from lower priced cross-border sales, our profitability will be negatively affected.</w:t>
      </w:r>
    </w:p>
    <w:p>
      <w:pPr>
        <w:spacing w:after="0" w:line="293"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Security breaches and incidents, loss of data and other disruptions could compromise sensitive information related to our business or protected health information or prevent us from accessing critical information and expose us to liability, which could adversely affect our business and our reputation.</w:t>
      </w:r>
    </w:p>
    <w:p>
      <w:pPr>
        <w:spacing w:after="0" w:line="67"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our CROs and other service providers collect, store and otherwise process petabytes of sensitive data, including legally protected health information, personal information,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Times New Roman" w:cs="Times New Roman" w:eastAsia="Times New Roman" w:hAnsi="Times New Roman"/>
          <w:sz w:val="17"/>
          <w:szCs w:val="17"/>
          <w:color w:val="auto"/>
        </w:rPr>
        <w:t>intellectual property and proprietary business information owned or controlled by ourselves or our strategic partners. We manage and maintain our applications and data by utilizing a combination of on-site systems, managed data center systems and cloud-based data center systems. These applications and data encompass a wide variety of business-critical information, including research and development information, commercial information and business and financial information. We face four primary risks relative to protecting this critical information: loss of access risk, inappropriate disclosure risk, inappropriate modification risk and the risk of being unable to adequately monitor our controls over the first three risks.</w:t>
      </w:r>
    </w:p>
    <w:p>
      <w:pPr>
        <w:spacing w:after="0" w:line="16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7"/>
          <w:szCs w:val="17"/>
          <w:color w:val="auto"/>
        </w:rPr>
        <w:t>Although we take measures designed to protect sensitive information from unauthorized access or disclosure, our information technology and infrastructure and those of our CROs and our other third-party service providers may utilize may be vulnerable to attacks by hackers or viruses or breached, interrupted or compromised due to inadvertent or intentional actions by our employees, contractors, business partners, and/or other third parties, or from cyber-attacks by malicious third parties (including supply chain cyber-attacks or the deployment of harmful malware, ransomware, denial-of-service attacks, social engineering and other means to affect service reliability and threaten the confidentiality, integrity and availability of information). Any such breach, incident, or interruption could compromise systems and networks used in our business and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such event could result in legal claims, demands and litigation or governmental investigations or other proceedings, liability under laws that protect the privacy of personal information, such as the Health Insurance Portability and Accountability Act of 1996 (“HIPAA”), and regulatory penalties and other liabilities. Although we have implemented security measures and a formal enterprise security program designed to prevent unauthorized access to sensitive data, there is no guarantee that we or our third-party service providers can protect our systems or networks or other systems or networks used in our business from security breaches, incidents, or compromises. Any loss, destruction, alteration, prevention of access to, disclosure, or dissemination of, or damage or unauthorized access to, our data or other data that is processed or maintained on our behalf could also disrupt our operations (including our ability to conduct our analyses, pay providers, conduct research and development activities, collect, process and prepare company financial information, provide information about any future products, and manage the administrative aspects of our business) and damage our reputation, any of which could adversely affect our business.</w:t>
      </w:r>
    </w:p>
    <w:p>
      <w:pPr>
        <w:spacing w:after="0" w:line="39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(“HITECH”), and its implementing regulations, impose certain requirements relating to the privacy, security, transmission and breach reporting of individually identifiable health information upon entities subject to the law, such as health plans, healthcare clearinghouses and healthcare providers and their respective business associates and subcontractors that perform services for them that involve individually identifiable health information. Mandatory penalties for HIPAA violations can be significant, and criminal and monetary penalties, as well as injunctive relief, may be imposed for HIPAA violations. Although most drug manufacturers are not directly subject to HIPAA, prosecutors are increasingly using HIPAA-related theories of liability against drug manufacturers and their agents and we also could be subject to criminal penalties if we knowingly obtain individually identifiable health information from a HIPAA-covered entity in a manner that is not authorized or permitted by HIPAA.</w:t>
      </w:r>
    </w:p>
    <w:p>
      <w:pPr>
        <w:spacing w:after="0" w:line="192"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Furthermore, in the event of a breach as defined by HIPAA, HIPAA regulations impose specific reporting requirements to regulators, individuals impacted by the breach and, in some cases, the media. Issuing such notifications can be costly, time and resource intensive, and can generate significant negative publicity. Breaches of HIPAA may also constitute contractual violations that could lead to contractual damages or terminations. In addition to HIPAA, other applicable data privacy and security obligations, including U.S. state data breach notification laws, may require us to notify relevant stakeholders of any security breaches or incidents that result in the unauthorized disclosure, or dissemination of, personal information. Such disclosures are costly, and the disclosures or the failure to comply with such requirements, could lead to adverse impacts.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Furthermore, the loss of clinical trial data from completed or future clinical trials could result in delays in our regulatory approval efforts and significantly increase our costs to recover or reproduce the data. Likewise, we rely on other third parties for the manufacture of our product candidates and to conduct clinical trials, and similar events relating to their computer systems could also have a material adverse effect on our business.</w:t>
      </w:r>
    </w:p>
    <w:p>
      <w:pPr>
        <w:spacing w:after="0" w:line="158"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In addition, as a result of the COVID-19 pandemic, we may face increased cybersecurity risks due to our reliance on internet technology and the number of our employees who are working remotely, which may create additional opportunities for cybercriminals to exploit vulnerabilities.</w:t>
      </w:r>
    </w:p>
    <w:p>
      <w:pPr>
        <w:spacing w:after="0" w:line="266" w:lineRule="exact"/>
        <w:rPr>
          <w:sz w:val="20"/>
          <w:szCs w:val="20"/>
          <w:color w:val="auto"/>
        </w:rPr>
      </w:pPr>
    </w:p>
    <w:p>
      <w:pPr>
        <w:jc w:val="both"/>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obligations related to privacy and security. Our actual or perceived failure to comply with such obligations could lead to regulatory investigations or actions, litigation, fines and penalties, disruptions of our business operations, reputational harm and other adverse business consequences.</w:t>
      </w:r>
    </w:p>
    <w:p>
      <w:pPr>
        <w:spacing w:after="0" w:line="6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addition, U.S. states have enacted and are considering enacting laws relating to the protection of personal information (including health and other data of patients, research subjects, and other individuals), which may be more rigorous than, or impose additional requirements beyond those required by, HIPAA. For example, the California Consumer Privacy Act (“CCPA”), which became effective on January 1, 2020, gives California consumers expanded rights to access and delete their personal information, opt out of certain personal information sharing and receive detailed information about how their personal information is used. The CCPA allows for statutory fines for noncompliance (up to $7,500 per violation) as well as a limited private right of action for data breaches, which may increase the volume of data breach litigation. In addition, the California Privacy Rights Act of 2020 (“CPRA”), effective January 1, 2023, expands the CCPA by, among other things, giving California residents the ability to limit use of certain sensitive personal information, establishing restrictions on personal information retention, expanding the types of data breaches subject to the CCPA’s private right of action, and establishing a new California Privacy Protection Agency to implement and enforce the new law. While limited CCPA exemptions may apply to portions of our business, the recency of the CCPA’s implementing regulations and the California Attorney General’s enforcement activity means obligations under the CCPA, as modified by the CPRA, could evolve in the future, which may increase our compliance costs and potential liability. Many similar privacy and security laws have been proposed at the federal level and in other states, certain of which have been enacted, including such laws in Colorado, Connecticut, Utah and Virginia. These or other proposed or enacted laws relating to privacy and security could similarly increase our compliance obligations and costs in the future.</w:t>
      </w:r>
    </w:p>
    <w:p>
      <w:pPr>
        <w:spacing w:after="0" w:line="197"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We may also become subject to laws and regulations in non-U.S. countries covering privacy and security and the protection of health-related and other personal information. In particular, the European Economic Area (“EEA”) has adopted privacy and security protection laws and regulations that impose significant compliance obligations. Laws and regulations in these jurisdictions apply broadly to the collection, use, storage, disclosure, processing and security of information that identifies or may be used to identify an individual, such as names, contact information, and sensitive personal information such as health data. These laws and regulations are subject to frequent revisions and differing interpretations, and have generally become more stringent over time.</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General Data Protection Regulation 2016/679 (“GDPR”) applies to the processing of personal information and imposes many requirements for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controllers and processors of personal information, including, for example, higher standards for obtaining consent from individuals to process their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personal information, more robust disclosures to individuals and a strengthened individual data rights regime, shortened timelines for data breach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notifications, limitations on retention and secondary use of information, increased requirements pertaining to health data and pseudonymized (i.e.,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key-coded) data and additional obligations when contracting third-party processors in connection with the processing of the personal information.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GDPR allows EEA countries to make additional laws and regulations further limiting the processing of genetic, biometric or health data. Failure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comply with the requirements of the GDPR and the applicable national privacy and security laws of EEA countries may result in fines of up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€20,000,000 or up to 4% of the total worldwide annual turnover of the preceding financial year, whichever is higher, and other administrative penalties;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also be liable should</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any individual who has suffered financial or non-financial damage arising from our infringement of the GDPR exercise their right to receive compensation against us. Furthermore, adverse publicity relating to our failure to comply with the GDPR could cause a loss of goodwill, which could have an adverse effect on our reputation, brand, business and financial condition. Additionally, the United Kingdom (“UK”) has implemented legislation similar to the GDPR, referred to as the UK GDPR, which provides for fines of up to the greater of £17.5 million or 4% of global turnover.</w:t>
      </w:r>
    </w:p>
    <w:p>
      <w:pPr>
        <w:spacing w:after="0" w:line="180"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Certain jurisdictions, including the EEA, have enacted data localization laws and cross-border personal information transfer laws. For example, absent appropriate safeguards or other circumstances, the GDPR generally restricts the transfer of personal information to countries outside the EEA, such as the United States, which the European Commission does not consider to provide an adequate level of personal information protection. On July 16, 2020, the Court of Justice of the European Union (“CJEU”) invalidated the European Union-U.S. Privacy Shield (“Privacy Shield”) as a data transfer mechanism for transferring personal information from the EEA to the United States. While the EU standard contractual clauses (“EU SCCs”) remain a valid mechanism to transfer personal information to third countries outside the EEA, the CJEU’s ruling has also imposed enhanced due diligence obligations on data exporters and importers to ensure that the laws of the country to which the personal information is transferred offer a level of data protection that is essentially equivalent to the EEA. Also, the EU has issued updated EU SCCs, and the UK has issued its own standard contractual clauses (the “UK SCCs”), that are required to be implemented over time. Although we do not transfer personal data from the EEA to the United States via the Privacy Shield, the CJEU’s decision means that the status of transfers of personal information from the EEA and other regions, including the UK, to the United States is subject to significant regulatory uncertainty. To the extent we transfer personal information from other jurisdictions to the United States, we may not be able to implement or maintain an appropriate data transfer mechanism to continue such international transfers of data. Additionally, the CJEU’s invalidation of the Privacy Shield, the revised EU SCCs and new UK SCCs, regulatory guidance and opinions, and other developments relating to cross-border data transfer may require us to implement additional contractual and technical safeguards for any personal information transferred out of the EEA, UK, or other regions, which may increase compliance costs, lead to increased regulatory scrutiny or liability, and may require additional contractual negotiations, which may adversely impact our business, financial condition, and operating results.</w:t>
      </w:r>
    </w:p>
    <w:p>
      <w:pPr>
        <w:spacing w:after="0" w:line="195"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Separate from, and in addition to, requirements under the GDPR and UK GDPR, certification requirements for the hosting of health data will vary by jurisdiction. To the extent we operate in various EEA countries or the UK, there might be other national healthcare regulations or regulatory requirements with which we will be required to comply. For example, France requires hosts of health data to obtain a prior certification with the competent certification body.</w:t>
      </w:r>
    </w:p>
    <w:p>
      <w:pPr>
        <w:spacing w:after="0" w:line="180"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interpretation and application of consumer, health-related and privacy and security laws in the United States, the EEA, and elsewhere are often uncertain, contradictory and in flux. Any failure or perceived failure to comply with federal, state or foreign laws or regulations, contractual or other legal obligations related to privacy or security may result in claims, warnings, communications, requests or investigations from individuals, supervisory authorities or other legal or regulatory authorities in relation to our processing of personal information, and regulatory investigations or other proceedings. It is possible that these laws may be interpreted and applied in a manner that is inconsistent with our practices. If so, this could result in government-imposed fines or orders requiring that we change our practices, which could adversely affect our business. In addition, these privacy regulations vary between states, may differ from country to country, and may vary based on whether testing is performed in the United States or in the local country. Complying with these various laws could cause us to incur substantial costs or require us to change our business practices and compliance procedures in a manner adverse to our business.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and future legislation may increase the difficulty and cost for us to commercialize any products that we or our strategic partners develop and affect the prices we may obtain.</w:t>
      </w:r>
    </w:p>
    <w:p>
      <w:pPr>
        <w:spacing w:after="0" w:line="51"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The United States and some foreign jurisdictions are considering or have enacted a number of legislative and regulatory proposals to change healthcare systems in ways that could affect our ability to sell any of our product candidates profitably, if such product candidates are approved for sale.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w:t>
      </w:r>
    </w:p>
    <w:p>
      <w:pPr>
        <w:spacing w:after="0" w:line="183"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In March 2010, the PPACA became law in the United States. The PPACA may affect the operational results of companies in the pharmaceutical industry, including us, by imposing on them additional costs. For example, effective January 1, 2010, PPACA increased the minimum Medicaid drug rebates for pharmaceutical companies and imposed an annual fee on certain branded prescription drugs and biologics. Since the enactment of PPACA, there have been executive, judicial and Congressional challenges to certain aspects of the PPACA, including judicial challenges in the Fifth Circuit Court and the United States Supreme Court. In June 2021, the United States Supreme Court held that Texas and other challengers had no legal standing to challenge the PPACA, dismissing the case without specifically ruling on the constitutionality of the PPACA. Accordingly, the PPACA remains in effect in its current form. It is unclear how this Supreme Court decision, future litigation, or healthcare measures promulgated by the Biden administration will impact our business, financial condition and results of operations. Complying with any new legislation or changes in healthcare regulation could be time-intensive and expensive, resulting in a material adverse effect on our business.</w:t>
      </w:r>
    </w:p>
    <w:p>
      <w:pPr>
        <w:spacing w:after="0" w:line="188"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PPACA was enacted. For example, the Bipartisan Budget Act of 2018, among other things, amended the PPACA, effective January 1, 2019, to close the coverage gap in most Medicare drug plans. The Budget Control Act of 2011, which calls for aggregate reductions to Medicare payments to providers of up to 2% per fiscal year, began in 2013 and, due to subsequent legislative amendments to the statute, will remain in effect through 2031, with the exception of a temporary suspension implemented under various COVID-19 relief legislation from May 1, 2020 through March 31, 2022, unless additional Congressional action is taken. Under current legislation, the actual reduction in Medicare payments will vary from 1% in 2022 to up to 4% in the final fiscal year of this sequester. The American Taxpayer Relief Act of 2012, among other things, further reduced Medicare payments to several providers, including hospitals and cancer treatment centers, and increased the statute of limitations period for the government to recover overpayments to providers from three to five years. These laws may result in additional reductions in Medicare and other healthcare funding, which could have a material adverse effect on potential customers for our product candidates, if approved, and, accordingly, our future financial operations. We are unable to predict the future course of federal or state health care legislation or foreign regulations relating to the marketing, pricing and reimbursement of pharmaceutical products.</w:t>
      </w:r>
    </w:p>
    <w:p>
      <w:pPr>
        <w:spacing w:after="0" w:line="19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There have been several recent U.S. Congressional inquiries, presidential executive orders,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under the American Rescue Plan Act of 2021, effective January 1, 2024, the statutory cap on Medicaid Drug Rebate Program rebates that manufacturers pay to state Medicaid programs will be eliminated. Elimination of this cap may require pharmaceutical manufacturers to pay more in rebates than it receives on the sale of products, which could have a material impact on our business. Additionally,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advance these principles.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The implementation of cost containment measures, including the prescription drug provisions under the Inflation Reduction Act, as well as other healthcare reforms may prevent us from being able to generate revenue, attain profitability, or commercialize our product candidates if approved. Complying with any new legislation and regulatory changes could be time-intensive and expensive, resulting in a material adverse effect on our business.</w:t>
      </w:r>
    </w:p>
    <w:p>
      <w:pPr>
        <w:spacing w:after="0" w:line="17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Further, many states have proposed or enacted legislation that seeks to indirectly or directly regulate pharmaceutical drug pricing, such as by requiring biopharmaceutical manufacturers to publicly report proprietary pricing information or to place a maximum price ceiling on pharmaceutical products purchased by state agencies.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candidates. We cannot be sure to what extent these and future legislative and regulatory efforts, whether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affect the prices we may obtain for any of our product candidates for which we may obtain regulatory approval or the frequency with which any such product candidate, if approved, is prescribed or used.</w:t>
      </w:r>
    </w:p>
    <w:p>
      <w:pPr>
        <w:spacing w:after="0" w:line="19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any future products. In addition to continuing pressure on prices and cost containment measures, legislative developments at the EU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products, if any, might not be considered medically reasonable and necessary for a specific indication or cost-effective by third-party payors, an adequate level of reimbursement might not be available for such products, and third-party payors’ reimbursement policies might adversely affect our or our strategic partners’ ability to sell any future products profitably.</w:t>
      </w:r>
    </w:p>
    <w:p>
      <w:pPr>
        <w:spacing w:after="0" w:line="189"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post-approval testing and other requirements.</w:t>
      </w:r>
    </w:p>
    <w:p>
      <w:pPr>
        <w:spacing w:after="0" w:line="183"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United States or elsewhere. If we or our strategic partners are slow or unable to adapt to changes in existing requirements or the adoption of new requirements or policies, or if we or our strategic partners are not able to maintain regulatory compliance, our product candidates may lose any marketing approval that may have been obtained and we may not achieve or sustain profitability, which would adversely affect our business.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080"/>
          </w:cols>
          <w:pgMar w:left="320" w:top="455"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Unstable or unfavorable global market and economic conditions may have adverse consequences on our business, financial condition and stock price.</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volatility and disruptions in the past several years, including severely diminished liquidity and credit availability, declines in consumer confidence, declines in economic growth, increases in unemployment rates, increases in the rate of inflation and uncertainty about economic stability. We cannot assure you that further deterioration in credit and financial markets and confidence in economic conditions will not occur. Our general business strategy and stock price may be adversely affected by any such economic downturn, volatile business environment or large-scale unpredictable or unstable market conditions, including a prolonged government shutdown, conflict between Russia and Ukraine or as a result of a global pandemic such as the COVID-19 pandemic. Our business could also be impacted by volatility caused by geopolitical events such as the evolving situation in Ukraine.</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development plans. In addition, there is a risk that one or more of our current service providers, manufacturers and other partners may not survive difficult economic times, which could directly affect our ability to attain our operating goals on schedule and on budget.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w:t>
      </w:r>
    </w:p>
    <w:p>
      <w:pPr>
        <w:spacing w:after="0" w:line="121"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Our business is subject to risks associated with conducting business internationally. Some of our suppliers and collaborative and clinical trial relationships are located outside the United States. Accordingly, our future results could be harmed by a variety of factors, including:</w:t>
      </w:r>
    </w:p>
    <w:p>
      <w:pPr>
        <w:spacing w:after="0" w:line="67" w:lineRule="exact"/>
        <w:rPr>
          <w:sz w:val="20"/>
          <w:szCs w:val="20"/>
          <w:color w:val="auto"/>
        </w:rPr>
      </w:pPr>
    </w:p>
    <w:p>
      <w:pPr>
        <w:ind w:left="1080" w:right="2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instability or weakness, including inflation, reduced growth, diminished credit availability, weakened consumer confidence or increased unemployment;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international geopolitical environment, including as a result of the Russian invasion of Ukraine;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sociopolitical instability in particular foreign economies and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foreign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130"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 including any changes that China may impose as a result of political tensions between Canada and China or the United States and China;</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and economic conditions following the UK’s withdrawal from the EU and uncertainty related to the terms of the withdrawal;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and currency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non-U.S. governments;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including price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outside the United States;</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 and</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other disruptions resulting from the impact of public health epidemics, including the COVID-19 pandemic, on our strategic partners, third-party manufacturers, suppliers and other third parties upon which we rely.</w:t>
      </w:r>
    </w:p>
    <w:p>
      <w:pPr>
        <w:spacing w:after="0" w:line="266" w:lineRule="exact"/>
        <w:rPr>
          <w:sz w:val="20"/>
          <w:szCs w:val="20"/>
          <w:color w:val="auto"/>
        </w:rPr>
      </w:pPr>
    </w:p>
    <w:p>
      <w:pPr>
        <w:ind w:left="120"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business and current and future relationships with customers and third-party payors in the United States and elsewhere will be subject, directly or indirectly, to applicable federal and state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72"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Healthcare providers, physicians and third-party payors in the United States and elsewhere play a primary role in the recommendation and prescription of any product candidates for which we obtain marketing approval.</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current and future arrangements with healthcare professionals, principal investigators, consultants, customers, and third-party payors and other entities may expose us to broadly applicable fraud and abuse and other healthcare laws and regulations, including the federal AKS and the federal False Claims Act, that may constrain the business or financial arrangements and relationships through which we conduct clinical research on product candidates and market, sell and distribute any products for which we obtain marketing approval. In addition, we may be subject to transparency laws and patient privacy regulation by the federal government and by the U.S. states and foreign jurisdictions in which we conduct our business. The applicable federal, state and foreign healthcare laws and regulations that may affect our ability to operate include the following:</w:t>
      </w:r>
    </w:p>
    <w:p>
      <w:pPr>
        <w:spacing w:after="0" w:line="93" w:lineRule="exact"/>
        <w:rPr>
          <w:sz w:val="20"/>
          <w:szCs w:val="20"/>
          <w:color w:val="auto"/>
        </w:rPr>
      </w:pPr>
    </w:p>
    <w:p>
      <w:pPr>
        <w:ind w:left="10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AKS, which prohibits, among other things, persons from knowingly and willfully soliciting, offering, receiving or providing remuneration (including any kickback, bribe or rebate),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85"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and civil monetary penalty laws, including the federal False Claims Act, impose criminal or civil penalties, as applicable, against individuals or entities for knowingly presenting, or causing to be presented, to the federal government (including the Medicare and Medicaid programs) or other third-party payor claims for payment that are false or fraudulent or making a false statement to avoid, decrease or conceal an obligation to pay money to the federal government;</w:t>
      </w:r>
    </w:p>
    <w:p>
      <w:pPr>
        <w:spacing w:after="0" w:line="85" w:lineRule="exact"/>
        <w:rPr>
          <w:rFonts w:ascii="Times New Roman" w:cs="Times New Roman" w:eastAsia="Times New Roman" w:hAnsi="Times New Roman"/>
          <w:sz w:val="18"/>
          <w:szCs w:val="18"/>
          <w:color w:val="auto"/>
        </w:rPr>
      </w:pPr>
    </w:p>
    <w:p>
      <w:pPr>
        <w:ind w:left="1080" w:right="140" w:hanging="424"/>
        <w:spacing w:after="0" w:line="25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established the federal offense of health care fraud, which among other things, imposes criminal liability for knowingly and willfully executing, or attempting to execute, a scheme to defraud any healthcare benefit program or to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92"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HITECH,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health plans, healthcare clearinghouses and healthcare providers and their respective business associates and their covered subcontractors;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5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Open Payments program under the Physician Payments Sunshine Act, created under Section 6002 of the PPACA and its implementing regulations, requires applicable group purchasing organizations and manufacturers of drugs, devices, biologics and medical supplies for which payment is available under Medicare, Medicaid or the Children’s Health Insurance Program (with certain exceptions) to report annually to HHS information related to “payments or other transfers of value” made in the previous year to covered recipients, including physicians (defined to include doctors, dentists, optometrists, podiatrists and chiropractors, other health care professionals such as nurse practitioners and physician assistants) and teaching hospitals, and information regarding ownership and investment interests held by physicians (as defined above) or their immediate family members; and</w:t>
      </w:r>
    </w:p>
    <w:p>
      <w:pPr>
        <w:spacing w:after="0" w:line="94"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and similar state and foreign laws and regulations, including: state anti-kickback and false claims laws that may apply to our business practices (including research, distribution, sales and marketing arrangements and claims involving healthcare items or services reimbursed by state governmental and non-governmental third-party payors, including private insurers); state laws that require pharmaceutical companies to comply with the pharmaceutical industry’s voluntary compliance guidelines and the applicable compliance guidance promulgated by the federal government; state laws that require drug manufacturers to track gifts and other remuneration and items of value provided to healthcare professionals and entities and file reports relating to pricing and marketing information; and state and foreign laws that govern the privacy and security of health information in specified circumstances, many of which differ from each other in significant ways and often are not preempted by HIPAA, thus complicating compliance efforts.</w:t>
      </w:r>
    </w:p>
    <w:p>
      <w:pPr>
        <w:spacing w:after="0" w:line="192"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any available statutory exceptions and safe harbors, it is possible that some of our current and future business activities could be subject to challenge under one or more of such laws.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and regulations. Any failure or perceived failure by us to comply with such laws, regulations, or case law may result in governmental investigations or enforcement actions, litigation, claims and other proceedings, harm our reputation, and could result in significant liability. Additionally, if our operations are found to be in violation of any of these laws or any other governmental regulations that may apply to us, we may be subject to significant civil, criminal and administrative penalties, including damages, fines,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 which could have a material adverse effect on our business. If any of the physicians or other providers or entities with whom we expect to do business, including our strategic partners, is found not to be in compliance with applicable laws, it may be subject to criminal, civil or administrative sanctions, including exclusions from participation in government healthcare programs, which could also materially affect our business.</w:t>
      </w:r>
    </w:p>
    <w:p>
      <w:pPr>
        <w:spacing w:after="0" w:line="294"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that can harm our business.</w:t>
      </w:r>
    </w:p>
    <w:p>
      <w:pPr>
        <w:spacing w:after="0" w:line="67"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00"/>
          </w:cols>
          <w:pgMar w:left="320" w:top="455" w:right="4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PATRIOT Act, the United Kingdom Bribery Act 2010, the Proceeds of Crime Act 2002, and other state and national anti-bribery and anti-money laundering laws in the countries in which we conduct activities. Anti-corruption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currently engage third parties for clinical trials outside of the United States and we may in the future engage third parties to sell our products outside of the United States once we enter a commercialization phase, or to obtain necessary permits, licenses, patent registrations, and other regulatory approvals. We may have direct or indirect interactions with officials and employees of government agencies or government-affiliated hospitals, universities, and other organizations.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Third-party manufacturers may not be able to comply with U.S. export control regulations, cGMP regulations or similar regulatory requirements outside the United States. Our failure, or the failure of our third-party manufacturers, to comply with applicable regulations could result in a necessity to replace current third parties, resulting in the possibility of supply delays,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growth prospects.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have received an unsolicited, non-binding proposal from an existing investor to purchase our Company.</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On April 28, 2022, All Blue Falcons FZE (“All Blue Falcons”), an existing shareholder, submitted an unsolicited, non-binding proposal to purchase our Company for $10.50 per share in cash. Our board of directors carefully reviewed the proposal and, in May 2022, unanimously determined that the unsolicited, non-binding proposal substantially undervalued our Company and was not in the best interest of the Company and its shareholders. While All Blue Falcons has not submitted a follow-up proposal and we have not had subsequent engagement with All Blue Falcons following our rejection of the non-binding proposal, reviewing this matter has in the past and may in the future divert management’s and our board of directors’ attention and has and may require us to incur significant costs related to our engagement of advisors. Any further actions by All Blue Falcons may disrupt our business and operations by causing uncertainty among and potentially loss of current and prospective employees, partners, suppliers and other constituencies important to our success or delay certain initiatives, transactions or the like that we are pursuing. Any of the foregoing could materially and negatively impact our business and financial results. The price of our common stock could be subject to price fluctuations due to the uncertainty associated with this matter.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Redomicile Transactions</w:t>
      </w:r>
    </w:p>
    <w:p>
      <w:pPr>
        <w:spacing w:after="0" w:line="117"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realize certain benefits of the Redomicile Transactions, including as a result of the shares of our common stock not being included in a U.S. stock market index.</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believe that the Redomicile Transactions will enhance stockholder value over the long-term and raise the profile and marketability of our capital stock in the United States through, among other things, the ability to attract deeper and growing pools of passive investment capital in the United States, particularly if shares of our common stock are included in certain U.S. stock market indices and other investment vehicles that only include securities of U.S.-incorporated companies. However, if shares of our common stock are not included in such U.S. stock market indices, this could result in increased selling pressure and/or decreased demand for our common stock that would increase stock price volatility or cause the market price of the shares of our common stock to</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080"/>
          </w:cols>
          <w:pgMar w:left="320" w:top="455"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fall. Initial inclusion and continued inclusion in a stock market index or fund is not guaranteed and is subject to numerous factors which can be applied subjectively by the entity managing the index or fund. There are no assurances that we will be included in any U.S. stock market indices or funds in a timely manner, or at all. Even if we are included in a U.S. stock market index or fund, the entities managing such indices or funds may change their inclusion criteria, resulting in the future exclusion from such index or fund.</w:t>
      </w:r>
    </w:p>
    <w:p>
      <w:pPr>
        <w:spacing w:after="0" w:line="180"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In addition, we have incurred a number of non-recurring costs associated with the Redomicile Transactions, including legal fees, accountants’ fees, proxy solicitor fees, filing fees, mailing expenses and financial printing expenses. The completion of the Redomicile Transactions may also result in additional and unforeseen expenses. While it is expected that benefits of the Redomicile Transactions will offset these transaction costs over time, this net benefit may not be achieved in the short-term or at all. These combined factors could adversely affect our business and overall financial condition. The success of the Redomicile Transactions will depend, in part, on our ability to realize the anticipated benefits associated with the Redomicile Transactions and associated reorganization of our corporate structure, and we may not be able to realize such benefits on a timely basis or at all.</w:t>
      </w:r>
    </w:p>
    <w:p>
      <w:pPr>
        <w:spacing w:after="0" w:line="277"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Redomicile Transactions may result in sales of shares of our common stock by certain retail and institutional stockholders or investment funds that are not permitted to hold shares of our common stock under their internal guidelines.</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Redomicile Transactions may result in sales of shares of our common stock by certain retail and institutional stockholders or investment funds (including Canadian-focused funds) that are not permitted to hold shares of our common stock under their internal guidelines, or are limited in the size of any such investments. Such sales could result in increased selling pressure and/or decreased demand for shares of our common stock, which could increase stock price volatility or cause the market price of the shares of our common stock to fall. As a result of the foregoing, certain of these investors may be required under their internal guidelines to sell their shares at times when, or at prices for which, they would otherwise not have sold. If an investor sells its shares at a time when the market price is lower than their cost basis in the shares, the investor will suffer a loss that could be significant to such investor.</w:t>
      </w:r>
    </w:p>
    <w:p>
      <w:pPr>
        <w:spacing w:after="0" w:line="189" w:lineRule="exact"/>
        <w:rPr>
          <w:sz w:val="20"/>
          <w:szCs w:val="20"/>
          <w:color w:val="auto"/>
        </w:rPr>
      </w:pPr>
    </w:p>
    <w:p>
      <w:pPr>
        <w:jc w:val="both"/>
        <w:ind w:left="120" w:right="580"/>
        <w:spacing w:after="0" w:line="312" w:lineRule="auto"/>
        <w:rPr>
          <w:sz w:val="20"/>
          <w:szCs w:val="20"/>
          <w:color w:val="auto"/>
        </w:rPr>
      </w:pPr>
      <w:r>
        <w:rPr>
          <w:rFonts w:ascii="Times New Roman" w:cs="Times New Roman" w:eastAsia="Times New Roman" w:hAnsi="Times New Roman"/>
          <w:sz w:val="17"/>
          <w:szCs w:val="17"/>
          <w:color w:val="auto"/>
        </w:rPr>
        <w:t>The success of the Redomicile Transactions will depend, in part, on our ability to realize the anticipated benefits associated with the Redomicile Transactions and associated reorganization of our corporate structure, and we may not be able to realize such benefits on a timely basis or at all.</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impacted by the uncertainty associated with the Redomicile Transactions.</w:t>
      </w:r>
    </w:p>
    <w:p>
      <w:pPr>
        <w:spacing w:after="0" w:line="121"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Although we expect to maintain our existing physical operations in Canada and Washington state, our principal executive offices are located in Middletown, Delaware, which reflects the ongoing evolution of our workforce toward hybrid and remote, with maintenance of our historical physical operations. As a result of this shift, certain relationships, including with employees, suppliers, contract research organizations, partners, collaborators, governments and other stakeholders, may be subject to disruption due to uncertainty associated with the Redomicile Transactions. Specifically, certain stakeholders may be reluctant to engage in business with us following the completion of the Redomicile Transactions, or may impose additional conditions on or apply less favorable terms to transactions involving us. This could have an adverse effect on our business and operations.</w:t>
      </w:r>
    </w:p>
    <w:p>
      <w:pPr>
        <w:spacing w:after="0" w:line="291"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completion of the Redomicile Transactions we may need to enter into certain new arrangements which may not be on terms as favorable as arrangements entered into by Zymeworks BC.</w:t>
      </w:r>
    </w:p>
    <w:p>
      <w:pPr>
        <w:spacing w:after="0" w:line="51"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connection with completion of the Redomicile Transactions we may need to enter into new arrangements as the ultimate parent company to Zymeworks BC and its subsidiaries. While we anticipate such terms will be materially consistent with existing arrangements, there is no assurance that such arrangement will not impose additional operating or financial restrictions on us, or that such arrangements will be on commercially reasonable terms or terms that are acceptable to us.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060"/>
          </w:cols>
          <w:pgMar w:left="320" w:top="455" w:right="5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In addition, the completion of the Redomicile Transactions may have triggered certain technical change in control, right of first offer, notice, consent, assignment or other provisions in agreements to which Zymeworks BC or our other subsidiaries are a party. If we are unable to assert that such provisions should not apply, or we are unable to comply with or negotiate waivers of those provisions, the counterparties may exercise their rights and remedies under the agreements, including potentially terminating such agreements or seeking monetary damages. Even if we are able to negotiate waivers, the counterparties may require a fee for such waivers or seek to renegotiate the agreements on terms less favorable to us.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Negative publicity resulting from the Redomicile Transactions could adversely affect our business and the market price of our common stock.</w:t>
      </w:r>
    </w:p>
    <w:p>
      <w:pPr>
        <w:spacing w:after="0" w:line="121"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Transactions similar to the Redomicile Transactions that have been undertaken by other companies have in some cases generated significant news coverage, some of which has been negative. Negative publicity generated by the Redomicile Transactions could cause certain persons with whom we have a business relationship to be more reluctant to do business with us. In addition, negative publicity could cause certain of our employees, particularly those in Canada, to perceive uncertainty regarding future opportunities available to them. Either of these events could have a significant adverse impact on our business. Negative publicity could also cause some of our stockholders to sell their shares or decrease the demand for new investors to purchase such shares, which could have an adverse impact on the price of our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change in the future.</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are subject to U.S. federal income taxes on our earnings and the earnings of our non-U.S. subsidiaries in a manner that may adversely impact our effective tax rate. For example, we may have to include additional amounts in income under the so-called “global intangible low-taxed income” regime or as a result of the application of “controlled foreign corporation” rules. Currently, the U.S. federal corporate income tax rate is 21%. However, the Biden Administration has proposed several changes to the U.S. corporate tax regime, which, if adopted, could result in increased taxation of our operations. The United States has also enacted the Inflation Reduction Act, which, among other changes, imposes a 1% excise tax on certain stock buybacks and an alternative minimum tax on adjusted financial statement income. In addition, our Canadian tax attributes (including net operating loss and tax credit carryforwards and deductible Scientific Research and Experimental Development Expenditure carryforwards) will generally not be available to offset U.S. income and may be subject to limitation following the Redomicile Transactions.</w:t>
      </w:r>
    </w:p>
    <w:p>
      <w:pPr>
        <w:spacing w:after="0" w:line="192"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Further, our future operations and business structure may result in increased tax burden. For example, changes in our clinical development plans and business or commercialization strategies may result in an increased effective tax rate. Taxation of international business operations and intercompany transactions, including transactions between us and non-U.S. subsidiaries, is complicated. Any changes in the U.S. or non-U.S. taxation of such activities may increase our worldwide effective tax rate and harm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Enforcement of rights against us in Canada may be limited.</w:t>
      </w:r>
    </w:p>
    <w:p>
      <w:pPr>
        <w:spacing w:after="0" w:line="121"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Following the Redomicile Transactions, our principal executive offices are located in Middletown, Delaware and the majority of our directors, officers and experts reside outside of Canada. Accordingly, it may not be possible for our stockholders to effect service of process within Canada upon us or the majority of our directors, officers or experts, or to enforce judgments obtained in Canadian courts against us or the majority of our directors, officers or experts.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020"/>
          </w:cols>
          <w:pgMar w:left="320" w:top="455" w:right="5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Exchangeable Shares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Exchangeable Shares will not be listed on any stock exchange.</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exchangeable shares in the capital of ExchangeCo (the “Exchangeable Shares”) will not be listed on any stock exchange. Although Exchangeable Shares are exchangeable at the option of the holder for shares of our common stock, there is no market through which the Exchangeable Shares may be sold, and holders may not be able to sell their Exchangeable Shares.</w:t>
      </w:r>
    </w:p>
    <w:p>
      <w:pPr>
        <w:spacing w:after="0" w:line="280"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Exchangeable Shares may experience a delay in receiving shares of our common stock from the date they request an exchange, which may affect the value of the shares the holder receives in such exchange.</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Holders of Exchangeable Shares who request an exchange may not receive shares of our common stock until a period of time after the applicable request is received. During this period, the market price of our common stock may increase or decrease. Any such increase or decrease would affect the value of the consideration to be received by such a holder of Exchangeable Shares upon a subsequent sale of shares of our common stock received in the exchange.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may be a taxable event for a holder of Exchangeable Shares beyond such holder’s control.</w:t>
      </w:r>
    </w:p>
    <w:p>
      <w:pPr>
        <w:spacing w:after="0" w:line="121"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 holder of Exchangeable Shares will be considered to have disposed of Exchangeable Shares (i) on a redemption (including pursuant to a retraction request) of such Exchangeable Shares by ExchangeCo, and (ii) on an acquisition of such Exchangeable Shares by Zymeworks Inc. (formerly known as Zymeworks Delaware Inc.) or Callco. Although each is a taxable event, the Canadian federal income tax consequences of the disposition will be different depending on whether the event giving rise to the disposition is a redemption or an acquisition. Prior to the sunset date of the Exchangeable Shares, ExchangeCo may redeem Exchangeable Shares in limited circumstances, and ExchangeCo shall redeem the Exchangeable Shares on the sunset date. Accordingly, an Eligible Holder may have a taxable event in a transaction beyond their control.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tax treatment of Exchangeable Shares for non-Canadian tax purposes is uncertain.</w:t>
      </w:r>
    </w:p>
    <w:p>
      <w:pPr>
        <w:spacing w:after="0" w:line="121"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tax treatment of Exchangeable Shares for non-Canadian tax purposes, including U.S. federal income tax purposes, is uncertain. Holders of Exchangeable Shares who are subject to taxation in jurisdictions other than Canada should consult with their tax advisors regarding the tax treatment of Exchangeable Shares under non-Canadian tax laws and regulations.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17" w:lineRule="exact"/>
        <w:rPr>
          <w:sz w:val="20"/>
          <w:szCs w:val="20"/>
          <w:color w:val="auto"/>
        </w:rPr>
      </w:pPr>
    </w:p>
    <w:p>
      <w:pPr>
        <w:jc w:val="both"/>
        <w:ind w:left="120"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inception and anticipate that we will continue to incur losses for the foreseeable future. We have no products approved for commercial sale, and to date we have not generated any revenue or profit from product sales. We may never achieve or sustain profitability.</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We have incurred significant losses since our inception. Our net loss for the years ended December 31, 2020 and 2021 and for the nine months ended September 30, 2022 was $180.6 million, $211.8 million and $185.1 million, respectively. As of September 30, 2022, our accumulated deficit was $868.2 million. We expect to continue to incur losses for the foreseeable future, and we expect these losses to increase as we continue our research and development of, and seek regulatory approvals for, our product candidates, prepare for and begin to commercialize any approved product candidates and add infrastructure, which may include personnel, to support our product development efforts. In addition, inflationary pressure could adversely impact our financial results. The net losses and negative cash flows incurred to date, together with expected future losses, have had, and likely will continue to have, an adverse effect on our stockholders’ deficit and working capital. The amount of future net losses will depend, in part, on the rate of future growth of our expenses and our ability to generate revenue.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w:t>
      </w:r>
    </w:p>
    <w:p>
      <w:pPr>
        <w:spacing w:after="0" w:line="162"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commercializing product candidates with significant market potential. This will require us to be successful in a range of challenging activities for which we are only in the preliminary stages, including developing product candidates, obtaining regulatory approval for such product candidates, and manufacturing, marketing and selling those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our stockholders to lose all or part of their investment.</w:t>
      </w:r>
    </w:p>
    <w:p>
      <w:pPr>
        <w:spacing w:after="0" w:line="293" w:lineRule="exact"/>
        <w:rPr>
          <w:sz w:val="20"/>
          <w:szCs w:val="20"/>
          <w:color w:val="auto"/>
        </w:rPr>
      </w:pPr>
    </w:p>
    <w:p>
      <w:pPr>
        <w:ind w:left="120"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Biopharmaceutical product development is a highly speculative undertaking and involves a substantial degree of uncertainty. We have never generated any revenue from product sales and may never be profitable.</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developing our proprietary therapeutic platforms, identifying potential product candidates and conducting preclinical studies and clinical trials. We and our partners are still developing our product candidates, and we have not completed development of any products. Our revenue to date has been primarily revenue from the license of our proprietary therapeutic platforms for the development of product candidates by others or revenue from our strategic partners. Our ability to generate revenue and achieve profitability depends in large part on our ability, alone or with our strategic partners, to achieve milestones and to successfully complete the development of, obtain the necessary regulatory approvals for, and commercialize, product candidates. We do not anticipate generating revenue from sales of products in the near term.</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are currently advancing two of our product candidates through clinical development as well as other potential product candidates through discovery and preclinical development. Developing pharmaceutical products, including conducting preclinical studies and clinical trials, is expensive. In order to obtain regulatory approval, we will be required to conduct clinical trials for each indication for each of our product candidates. We will continue to require additional funding to complete the development and commercialization of our product candidates and to continue to advance the development of our other product candidates, and such funding may not be available on acceptable terms or at all. If sufficient funds on acceptable terms are not available when needed, or at all, we could be forced to significantly reduce operating expenses and delay, scale back or eliminate one or more of our development programs or our business operations. In January 2022, we began implementing a Company-wide reduction in workforce to help achieve a more cost-efficient organization, which we believe will enhance our ability to execute on our key priorities. The target of the reduction in workforce was to reduce employee headcount by at least 25% by the end of 2022. As of March 31, 2022, we exceeded the previously announced workforce reduction of 25%, ahead of schedule; however, the full scope, scale and impact of the reduction in workforce is not yet known.</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future funding requirements will depend on many factors, including:</w:t>
      </w:r>
    </w:p>
    <w:p>
      <w:pPr>
        <w:spacing w:after="0" w:line="131" w:lineRule="exact"/>
        <w:rPr>
          <w:sz w:val="20"/>
          <w:szCs w:val="20"/>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other product candidates that we pursue;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 and results of research, preclinical development, and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seeking and obtaining FDA and non-U.S. regulatory approvals;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manufacturing our product candidates and establishing sales, marketing and distribution capabilities;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the reduction in workforce and achieve the anticipated cost reductions;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when needed additional management, scientific and medical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products that may limit market penetration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implement additional internal systems and infrastructure, including financial and reporting systems; and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economic and other terms, timing of and success of our existing strategic partnerships, and any collaboration, asset monetization, licensing, or other arrangements into which we may enter in the future, including the timing of receipt of any milestone or royalty payments under these agreements.</w:t>
      </w:r>
    </w:p>
    <w:p>
      <w:pPr>
        <w:spacing w:after="0" w:line="17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Until we can generate a sufficient amount of product revenue to finance our cash requirements, which we may never do, we expect to finance future cash needs primarily through a combination of public and private equity offerings, debt financings, asset monetization, strategic partnerships and grant funding.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substantial rights.</w:t>
      </w:r>
    </w:p>
    <w:p>
      <w:pPr>
        <w:spacing w:after="0" w:line="121" w:lineRule="exact"/>
        <w:rPr>
          <w:sz w:val="20"/>
          <w:szCs w:val="20"/>
          <w:color w:val="auto"/>
        </w:rPr>
      </w:pPr>
    </w:p>
    <w:p>
      <w:pPr>
        <w:ind w:left="120" w:right="60"/>
        <w:spacing w:after="0" w:line="272"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equity or convertible debt securities, our stockholders’ ownership interest will be diluted, and the terms of these new securities may include liquidation or other preferences that adversely affect our stockholders’ rights as common stockholders. Debt financing, if available at all, may involve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2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depend on our collaborative relationship with Jazz to further develop and commercialize zanidatamab, and if our relationship is not successful or is terminated, we may be delayed in or unable to effectively develop and/or commercialize zanidatamab, which could have a material adverse effect on our business.</w:t>
      </w:r>
    </w:p>
    <w:p>
      <w:pPr>
        <w:spacing w:after="0" w:line="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October 2022, we entered into the Jazz Collaboration Agreement with Jazz. Pursuant to the terms of the agreement, we are eligible to receive a</w:t>
      </w:r>
    </w:p>
    <w:p>
      <w:pPr>
        <w:spacing w:after="0" w:line="2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$50 million upfront payment following receipt of HSR Clearance and, should Jazz decide to continue the collaboration following readout of the top-line clinical data from HERIZON-BTC-01, a further payment of $325 million. We are also eligible to receive additional milestone payments upon achievement of certain regulatory and commercial milestones, as well as tiered royalties on Jazz’s net sales of licensed products. We will depend on Jazz to collaborate with us to develop and commercialize zanidatamab in the territories covered by the Jazz Collaboration Agreement and, as a result, the eventual success or commercial viability of zanidatamab is largely beyond our control. The financial returns to us, if any, depend in large part on the receipt of the upfront payments upon satisfaction of the stated conditions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00"/>
          </w:cols>
          <w:pgMar w:left="320" w:top="455" w:right="4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312" w:lineRule="auto"/>
        <w:rPr>
          <w:sz w:val="20"/>
          <w:szCs w:val="20"/>
          <w:color w:val="auto"/>
        </w:rPr>
      </w:pPr>
      <w:r>
        <w:rPr>
          <w:rFonts w:ascii="Times New Roman" w:cs="Times New Roman" w:eastAsia="Times New Roman" w:hAnsi="Times New Roman"/>
          <w:sz w:val="17"/>
          <w:szCs w:val="17"/>
          <w:color w:val="auto"/>
        </w:rPr>
        <w:t>and, thereafter, achievement of regulatory and commercialization milestones, plus a share of any revenue from sales. Therefore, our success, and any associated financial returns to us and our investors, will depend in significant part on Jazz’s performance under the Jazz Collaboration Agreement.</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are subject to a number of additional specific risks associated with our dependence on our collaborative relationship with Jazz, including:</w:t>
      </w:r>
    </w:p>
    <w:p>
      <w:pPr>
        <w:spacing w:after="0" w:line="131"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decisions by Jazz regarding the development and commercialization of zanidatamab;</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as to the timing, nature and extent of development plans, including clinical trials or regulatory approval strategy;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significant rights if we fail to meet our obligations under the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key management personnel at Jazz;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disagreements with Jazz regarding the agreement, for example, with regard to ownership of intellectual property rights.</w:t>
      </w:r>
    </w:p>
    <w:p>
      <w:pPr>
        <w:spacing w:after="0" w:line="225" w:lineRule="exact"/>
        <w:rPr>
          <w:sz w:val="20"/>
          <w:szCs w:val="20"/>
          <w:color w:val="auto"/>
        </w:rPr>
      </w:pPr>
    </w:p>
    <w:p>
      <w:pPr>
        <w:ind w:left="120" w:right="460"/>
        <w:spacing w:after="0" w:line="312" w:lineRule="auto"/>
        <w:rPr>
          <w:sz w:val="20"/>
          <w:szCs w:val="20"/>
          <w:color w:val="auto"/>
        </w:rPr>
      </w:pPr>
      <w:r>
        <w:rPr>
          <w:rFonts w:ascii="Times New Roman" w:cs="Times New Roman" w:eastAsia="Times New Roman" w:hAnsi="Times New Roman"/>
          <w:sz w:val="17"/>
          <w:szCs w:val="17"/>
          <w:color w:val="auto"/>
        </w:rPr>
        <w:t>If either we or Jazz fail to perform our respective obligations, any clinical trial, regulatory approval or development progress could be significantly delayed or halted, could result in costly or time-consuming litigation or arbitration and could have a material adverse effect on our business.</w:t>
      </w:r>
    </w:p>
    <w:p>
      <w:pPr>
        <w:spacing w:after="0" w:line="14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Decisions by Jazz to emphasize other drug candidates currently in its portfolio ahead of zanidatamab, or to add competitive agents to its portfolio could result in a decision to terminate the agreement, in which event, among other things, we may be responsible for paying any remaining costs of all ongoing or future clinical trials. If Jazz decides to terminate the Jazz Collaboration Agreement, we may be delayed in or unable to effectively develop and/or commercialize zanidatamab, which could have a material adverse effect on our business.</w:t>
      </w:r>
    </w:p>
    <w:p>
      <w:pPr>
        <w:spacing w:after="0" w:line="180"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Any of the above discussed scenarios could adversely affect the timing and extent of the development and commercialization activities related to zanidatamab, which could materially and adversely impact our business.</w:t>
      </w:r>
    </w:p>
    <w:p>
      <w:pPr>
        <w:spacing w:after="0" w:line="266" w:lineRule="exact"/>
        <w:rPr>
          <w:sz w:val="20"/>
          <w:szCs w:val="20"/>
          <w:color w:val="auto"/>
        </w:rPr>
      </w:pPr>
    </w:p>
    <w:p>
      <w:pPr>
        <w:ind w:left="120" w:right="4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existing strategic partnerships are important to our business, and future strategic partnerships will likely also be important to us. If we are unable to maintain our strategic partnerships, or if these strategic partnerships are not successful, our business could be adversely affected.</w:t>
      </w:r>
    </w:p>
    <w:p>
      <w:pPr>
        <w:spacing w:after="0" w:line="28"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limited capabilities for drug development and commercialization of our product candidates, if approved. Accordingly, we have entered into strategic partnerships with other companies that we believe can provide such capabilities, including our collaboration and license agreements with Jazz, Merck, BMS, GSK, Daiichi Sankyo, Janssen, LEO, BeiGene, Iconic and Atreca. These relationships also have provided us with non-dilutive funding for our wholly owned pipeline and therapeutic platforms and we expect to receive additional funding under these strategic partnerships in the future. Our existing strategic partnerships, and any future strategic partnerships we enter into, may pose a number of risks, including the following:</w:t>
      </w:r>
    </w:p>
    <w:p>
      <w:pPr>
        <w:spacing w:after="0" w:line="89"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have significant discretion in determining the efforts and resources that they will apply to these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perform their obligations as expected;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pursue development and commercialization of any product candidates that achieve regulatory approval or may elect not to continue or renew development or commercialization programs based on clinical trial results, changes in the partners’ strategic focus or available funding, or external factors, such as an acquisition, that divert resources or create competing priorities;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2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could independently develop, or develop with third parties, products that compete directly or indirectly with our product candidates if the strategic partners believe that competitive products are more likely to be successfully developed or can be commercialized under terms that are more economically attractive than our product candidates;</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strategic partners as competitive with their own product candidates or products, which may cause strategic partners to cease to devote resources to the commercialization of our product candidates;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strategic partner with marketing and distribution rights to one or more of our product candidates that achieve regulatory approval may not commit sufficient resources to the marketing and distribution of such product candidates;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strategic partners,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85"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infringe the intellectual property rights of third parties, which may expose us to litigation and potential liability;</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partnerships may be terminated for the convenience of the partner and, if terminated, we could be required to raise additional capital to pursue further development or commercialization of the applicable product candidates. For example, each of our collaboration and license agreements with Jazz, Merck, Lilly, BMS, GSK, Daiichi Sankyo, Janssen, LEO, BeiGene, Iconic and Atreca may be terminated for convenience upon the completion of a specified notice period;</w:t>
      </w:r>
    </w:p>
    <w:p>
      <w:pPr>
        <w:spacing w:after="0" w:line="85"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elect to enter into additional licensing or collaboration agreements to partner our product candidates in territories we currently retain, and in the event we grant exclusive rights to such partners, we would be precluded from potential commercialization of our product candidates within the territories in which we have a partner; and</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partners may not have the ability or the development capabilities to perform their obligations as expected, including as a result of the impact of the COVID-19 pandemic on our strategic partners’ operations or business.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If our strategic partnerships do not result in the successful development and commercialization of product candidates or if one of our partners terminates its agreement with us, we may not receive any future research funding or milestone or royalty payments under the collaboration. If we do not receive the funding we expect under our strategic partnership agreements, our development of our therapeutic platforms and product candidates could be delayed and we may need additional resources to develop product candidates and our therapeutic platforms.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seeking new strategic partners.</w:t>
      </w:r>
    </w:p>
    <w:p>
      <w:pPr>
        <w:spacing w:after="0" w:line="12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For some of our product candidates, we may in the future determine to collaborate with additional pharmaceutical and biotechnology companies for development and potential commercialization of therapeutic products. Our ability to reach a definitive agreement for a collaboration will depend, among other things, upon our assessment of the strategic partner’s resources and expertise, the terms and conditions of the proposed collaboration and the proposed strategic partner’s evaluation of a number of factors. These factors may include the design or results of clinical trials, the likelihood of approval by the FDA or similar regulatory authorities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strategic partner may also consider alternative product candidates or technologies for similar indications that may be available to collaborate on and whether such a collaboration could be more attractive than the one with us for our product candidate.</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Strategic partnerships are complex and time-consuming to negotiate and document. In addition, there have been a significant number of recent business combinations among large pharmaceutical companies that have resulted in a reduced number of potential future strategic partners. If we are unable to reach agreements with suitable strategic partners on a timely basis, on acceptable terms, or at all, we may have to curtail the development of a product candidate, reduce or delay one or more of our other development programs, delay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strategic partnerships and do not have sufficient funds or expertise to undertake the necessary development and commercialization activities, we may not be able to further develop our product candidates or bring them to market or continue to develop our therapeutic platforms and our business may be materially and adversely affected.</w:t>
      </w:r>
    </w:p>
    <w:p>
      <w:pPr>
        <w:spacing w:after="0" w:line="292" w:lineRule="exact"/>
        <w:rPr>
          <w:sz w:val="20"/>
          <w:szCs w:val="20"/>
          <w:color w:val="auto"/>
        </w:rPr>
      </w:pPr>
    </w:p>
    <w:p>
      <w:pPr>
        <w:ind w:left="120" w:right="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manufacturers to produce our product candidates and on other third parties to provide supplies and store, monitor and transport bulk drug substance and drug product. We and our third-party partners may encounter difficulties with respect to these activities that could delay or impair our ability to initiate or complete our clinical trials or commercialize approved products.</w:t>
      </w:r>
    </w:p>
    <w:p>
      <w:pPr>
        <w:spacing w:after="0" w:line="6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We rely on our strategic partners to manufacture product candidates licensed to them or work with multiple third-party contract manufacturers to produce sufficient quantities of materials required for the manufacture of our product candidates for preclinical testing and clinical trials, in compliance with applicable regulatory and quality standards, and intend to do so for the commercial manufacture of our products. If we are unable to arrange for such third-party manufacturing sources, or fail to do so on commercially reasonable terms, we may not be able to successfully produce sufficient supply of product candidate or we may be delayed in doing so. Such failure or substantial delay could materially harm our business.</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The manufacture of biopharmaceutical products is complex and requires significant expertise and capital investment, including the development of advanced manufacturing techniques and process controls. The process of manufacturing our product candidates is susceptible to product loss due to contamination, equipment failure or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disruptions. If microbial, viral or other contaminations are discovered in our product candidates or in the third-party manufacturing facilities in which our product candidates are made, such manufacturing facilities may need to be closed for an extended period of time to investigate and remedy the contamination. All of our engineered antibodies are manufactured by utilizing cells that are stored in a cell bank. We have one master cell bank and one working cell bank utilized for each antibody manufactured in accordance with cGMP. While we believe we would have adequate back up at a secondary storage location, should any cell bank be lost in a catastrophic event, it is possible that we could lose part of a cell bank and have our manufacturing potentially impacted by the need to replace the cell bank. Any adverse developments affecting manufacturing operations for our product candidates, if any are approved, may result in shipment delays, inventory shortages, lot failures, product withdrawals or recalls, or other interruptions in the supply of our products. We may also have to take inventory</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write-offs and incur other charges and expenses for products that fail to meet specifications, undertake costly remediation efforts or seek more costly manufacturing alternatives.</w:t>
      </w:r>
    </w:p>
    <w:p>
      <w:pPr>
        <w:spacing w:after="0" w:line="16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Furthermore, 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manufacture our product candidates in accordance with our product specifications) and the possibility of termination or nonrenewal of the agreement by the third party at a time that is costly or damaging to us. In addition, the FDA, EMA and other regulatory authorities require that our product candidates be manufactured according to cGMP and similar foreign standards. Pharmaceutical manufacturers and their subcontractors are required to register their facilities 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strategic partners, may result in restrictions on the product or on the manufacturing or laboratory facility, including marketed product recall, suspension of manufacturing, product seizure, or a voluntary withdrawal of the drug from the market. We may have little to no control regarding the occurrence of third-party manufacturer incidents.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87" w:lineRule="exact"/>
        <w:rPr>
          <w:sz w:val="20"/>
          <w:szCs w:val="20"/>
          <w:color w:val="auto"/>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In addition to third-party manufacturers, we rely on other third parties to store, monitor and transport bulk drug substance and drug product. If we are unable to arrange for such third-party sources, or fail to do so on commercially reasonable terms, we may not be able to successfully supply sufficient product candidate or we may be delayed in doing so. Such failure or substantial delay could materially harm our business.</w:t>
      </w:r>
    </w:p>
    <w:p>
      <w:pPr>
        <w:spacing w:after="0" w:line="176"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In addition, disruptions to ports and other shipping infrastructure, due in part to the impact of the ongoing COVID-19 pandemic, may result in shortages or delays impacting the availability of materials and other supplies, which could negatively impact our manufacturers, suppliers and other third parties on whom we rely. While we have not yet suffered any direct, material negative impacts from these ongoing supply chain disruptions, we cannot be certain that we will not be impacted, which could increase our costs or negatively impact our development timelines.</w:t>
      </w:r>
    </w:p>
    <w:p>
      <w:pPr>
        <w:spacing w:after="0" w:line="284" w:lineRule="exact"/>
        <w:rPr>
          <w:sz w:val="20"/>
          <w:szCs w:val="20"/>
          <w:color w:val="auto"/>
        </w:rPr>
      </w:pPr>
    </w:p>
    <w:p>
      <w:pPr>
        <w:ind w:left="120" w:right="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monitor, support, conduct and oversee clinical trials of the product candidates that we are developing and, in some cases, to maintain regulatory files for those product candidates. We may not be able to obtain regulatory approval for our product candidates or commercialize any products that may result from our development efforts if we are not able to maintain or secure agreements with such third parties on acceptable terms, if these third parties do not perform their services as required, or if these third parties fail to timely transfer any regulatory information held by them to us.</w:t>
      </w:r>
    </w:p>
    <w:p>
      <w:pPr>
        <w:spacing w:after="0" w:line="75"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We also rely on third parties to perform clinical trials on our current and future product candidates when they reach that stage. As a result, we have less control over the timing and cost of these studies and the ability to recruit trial subjects than if we conducted these trials with our own personnel.</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If we are unable to maintain or enter into agreements with these third parties on acceptable terms, or if any such engagement is terminated prematurely, we may be unable to enroll patients on a timely basis or otherwise conduct our trials in the manner we anticipate. In addition, there is no guarantee that these third parties will devote adequate time and resources to our studies or perform as required by our contract or in accordance with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regulatory requirements, including maintenance of clinical trial information regarding our product candidates.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EMA or other regulatory agencies.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6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We and our CROs are required to comply with GCP regulations and guidelines enforced by the FDA, the competent authorities of the member states of the EU and comparable foreign regulatory authorities for products in clinical development. Regulatory authorities enforce these GCP regulations through periodic inspections of clinical trial sponsors, principal investigators and clinical trial sites. If we or any of our CROs fail to comply with applicable GCP regulations, the clinical data generated in our clinical trials may be deemed unreliable and our submission of marketing applications may be delayed or the FDA may require us to perform additional clinical trials before approving our marketing applications. Upon inspection, the FDA could determine that any of our clinical trials fail or have failed to comply with applicable GCP regulations. In addition, our clinical trials must be conducted with product produced under the cGMP regulations enforced by the FDA, and our clinical trials may require a large number of test subjects. Our failure to comply with these regulations may require us to repeat clinical trials, which would delay the regulatory approval process and increase our costs. Moreover, our business may be implicated if any of our CROs violates federal or state fraud and abuse or false claims laws and regulations or healthcare privacy and security laws.</w:t>
      </w:r>
    </w:p>
    <w:p>
      <w:pPr>
        <w:spacing w:after="0" w:line="194"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If any of our clinical trial sites terminate for any reason, we may experience the loss of follow-up information on patients enrolled in our ongoing clinical trials unless we are able to transfer the care of those patients to another qualified clinical trial site. Further, if our relationship with any of our CROs is terminated, we may be unable to enter into arrangements with alternative CROs on commercially reasonable terms, or at all.</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Switching or adding CROs or other suppliers can involve substantial cost and require extensive management time and focus. In addition, there is a natural transition period when a new CRO or supplier commences work. As a result, delays may occur, which can materially impact our ability to meet our desired clinical development timelines. If we are required to seek alternative supply arrangements, the resulting delays and potential inability to find a suitable replacement could materially and adversely impact our business.</w:t>
      </w:r>
    </w:p>
    <w:p>
      <w:pPr>
        <w:spacing w:after="0" w:line="28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various operational and administrative aspects of our business, including for certain cloud-based software platforms, which impact our financial, operational and research activities. If any of these third parties fail to provide timely, accurate and ongoing service or if the cloud-based platforms suffer outages that we are unable to mitigate, our business may be adversely affected.</w:t>
      </w:r>
    </w:p>
    <w:p>
      <w:pPr>
        <w:spacing w:after="0" w:line="67"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We currently rely upon third-party consultants and contractors to provide certain operational and administrative services, including external financial, legal, clinical and research consultation.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or increase their fees, or if our relationships with these providers deteriorate, we could suffer increased costs until an equivalent provider could be found, if at all, or we could develop internal capabilities, if ever.</w:t>
      </w:r>
    </w:p>
    <w:p>
      <w:pPr>
        <w:spacing w:after="0" w:line="183"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Further, our operations depend on the continuing and efficient operation of our information technology and communications systems and infrastructure, and specifically on “cloud-based” platforms. These platforms are vulnerable to damage or interruption from earthquakes, vandalism, sabotage, terrorist attacks, floods, fires, power outages, telecommunications failures, and computer viruses or other deliberate attempts to harm the systems. The occurrence of a natural or intentional disaster, any decision to close a facility we are using without adequate notice, or particularly an unanticipated problem at our cloud-based virtual server facility, could result in harmful interruptions in our service, resulting in adverse effects to our business.</w:t>
      </w:r>
    </w:p>
    <w:p>
      <w:pPr>
        <w:spacing w:after="0" w:line="2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significantly on our ability to operate without infringing the patents and other proprietary rights of third parties.</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For example, certain patents and patent applications held by third parties cover Fab and Fc region engineering methods for bispecific antibodies, and antibodies having mutations in Fab heavy and light chain regions and Fc regions to generate correctly paired bispecific antibodies. If our products or our strategic partners’ products incorporate any Fab or Fc region mutations covered by any claims of these patents or patents that may issue from these applications, and if licenses for them are not available on commercially reasonable terms or at all, and we are unable to invalidate or render unenforceable those patents, our business could be materially harmed.</w:t>
      </w:r>
    </w:p>
    <w:p>
      <w:pPr>
        <w:spacing w:after="0" w:line="189" w:lineRule="exact"/>
        <w:rPr>
          <w:sz w:val="20"/>
          <w:szCs w:val="20"/>
          <w:color w:val="auto"/>
        </w:rPr>
      </w:pPr>
    </w:p>
    <w:p>
      <w:pPr>
        <w:ind w:left="120" w:right="160"/>
        <w:spacing w:after="0" w:line="254" w:lineRule="auto"/>
        <w:rPr>
          <w:sz w:val="20"/>
          <w:szCs w:val="20"/>
          <w:color w:val="auto"/>
        </w:rPr>
      </w:pPr>
      <w:r>
        <w:rPr>
          <w:rFonts w:ascii="Times New Roman" w:cs="Times New Roman" w:eastAsia="Times New Roman" w:hAnsi="Times New Roman"/>
          <w:sz w:val="18"/>
          <w:szCs w:val="18"/>
          <w:color w:val="auto"/>
        </w:rPr>
        <w:t>We are also aware of third-party patents and patent applications containing claims directed to compositions and methods for treating various forms of cancer with antibodies targeting HER2, alone or in combination with other anti-cancer agents, which patents and applications could potentially be construed to cover our product candidates and the use thereof to treat cancer. If our products or our strategic partners’ products were found to infringe any such patents, and if licenses for them are not available on commercially reasonable terms, or at all, and we were unable to invalidate or render unenforceable those patents, our business could be materially harmed. These patents may not expire before we receive marketing authorization for our product candidates, and could delay the commercial launch of one or more future products. There is also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92"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Patents that we may ultimately be found to infringe could be issued to third parties. Third parties may have or obtain valid and enforceable patents or proprietary rights that could block us from developing product candidates using our technology. Our failure to obtain a license to any patent covering any technology that we require may materially harm our business, financial condition and results of operations. Moreover, our failure to maintain a license to any patent covering any technology that we require may also materially harm our business, financial condition and results of operations. Furthermore, we would be exposed to a threat of litigation.</w:t>
      </w:r>
    </w:p>
    <w:p>
      <w:pPr>
        <w:spacing w:after="0" w:line="18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In the pharmaceutical industry, significant litigation and other proceedings regarding patents, patent applications, trademarks and other intellectual property rights are commonplace. Any such lawsuits and proceedings could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or our strategic partners are infringing a third party’s patents and would order us or our strategic partners to stop the activities or stop the manufacture, use, or sale of any product covered by the patents. In that event, we or our strategic partners may not have a viable alternative to the technology protected by the patent and may need to halt work on the affected product candidate or cease commercialization of an approved product. In addition, there is a risk that a court would order us or our strategic partners to pay third-party damages or some other</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00"/>
          </w:cols>
          <w:pgMar w:left="320" w:top="455" w:right="4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and trade secret protection for our product candidates and related technology, our business could be materially harmed.</w:t>
      </w:r>
    </w:p>
    <w:p>
      <w:pPr>
        <w:spacing w:after="0" w:line="5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Our strategy depends on our ability to identify and seek patent protection for our discoveries. This process is expensive and time consuming, and we may not be able to file and prosecute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owned or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other countries.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Moreover, the patent position of biopharmaceutical companies generally is highly uncertain, involves complex legal and factual questions and has been the subject of much litigation. The issuance of a patent does not ensure that it is valid or enforceable. Third parties may challenge the validity, enforceability or scope of our issued patents, and such patents may be narrowed, invalidated, circumvented, or deemed unenforceable. In addition, changes in law may introduce uncertainty in the enforceability or scope of patents owned by biotechnology companies.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not prior art of which we are aware, but which we do not believe affects the validity or enforceability of a claim in our patents and patent applications, which may, nonetheless, ultimately be found to affect the validity or enforceability of a claim.</w:t>
      </w:r>
    </w:p>
    <w:p>
      <w:pPr>
        <w:spacing w:after="0" w:line="188" w:lineRule="exact"/>
        <w:rPr>
          <w:sz w:val="20"/>
          <w:szCs w:val="20"/>
          <w:color w:val="auto"/>
        </w:rPr>
      </w:pPr>
    </w:p>
    <w:p>
      <w:pPr>
        <w:ind w:left="120"/>
        <w:spacing w:after="0" w:line="269" w:lineRule="auto"/>
        <w:rPr>
          <w:sz w:val="20"/>
          <w:szCs w:val="20"/>
          <w:color w:val="auto"/>
        </w:rPr>
      </w:pPr>
      <w:r>
        <w:rPr>
          <w:rFonts w:ascii="Times New Roman" w:cs="Times New Roman" w:eastAsia="Times New Roman" w:hAnsi="Times New Roman"/>
          <w:sz w:val="17"/>
          <w:szCs w:val="17"/>
          <w:color w:val="auto"/>
        </w:rPr>
        <w:t>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other countries may not allow us to protect our inventions with patents to the same extent as the laws of the United States. Because patent applications in the United States and many other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issuance, validity, enforceability, scope and commercial value of our patents in the United States and in other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w:t>
      </w:r>
    </w:p>
    <w:p>
      <w:pPr>
        <w:spacing w:after="0" w:line="11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patents that could prevent us from marketing our own patented product and practicing our own patented technology.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patents covering one or more of our products or product candidates could be found invalid or unenforceable if challenged.</w:t>
      </w:r>
    </w:p>
    <w:p>
      <w:pPr>
        <w:spacing w:after="0" w:line="121"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 Patent and Trademark Office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8"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With respect to challenges to the validity of our patents, for example,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and any resulting loss of patent protection, could have a material adverse impact on one or more of our product candidates and our business.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Enforcing our intellectual property rights against third parties may also cause such third parties to file other counterclaims against us, which could be costly to defend and could require us to pay substantial damages, cease the use, manufacture, or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will not necessarily provide us with competitive advantages.</w:t>
      </w:r>
    </w:p>
    <w:p>
      <w:pPr>
        <w:spacing w:after="0" w:line="12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7" w:lineRule="exact"/>
        <w:rPr>
          <w:sz w:val="20"/>
          <w:szCs w:val="20"/>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or our strategic partners own or have exclusively licensed;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without infringing our intellectual property rights;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spacing w:after="0" w:line="67" w:lineRule="exact"/>
        <w:rPr>
          <w:rFonts w:ascii="Times New Roman" w:cs="Times New Roman" w:eastAsia="Times New Roman" w:hAnsi="Times New Roman"/>
          <w:sz w:val="18"/>
          <w:szCs w:val="18"/>
          <w:color w:val="auto"/>
        </w:rPr>
      </w:pPr>
    </w:p>
    <w:p>
      <w:pPr>
        <w:jc w:val="both"/>
        <w:ind w:left="1080" w:right="16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81"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develop additional proprietary technologies that are patentable;</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certain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for example by preventing us from marketing one or more of our product candidates for one or more indications.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the aforementioned threats to our competitive advantage could have a material adverse effect on our business.</w:t>
      </w:r>
    </w:p>
    <w:p>
      <w:pPr>
        <w:spacing w:after="0" w:line="329" w:lineRule="exact"/>
        <w:rPr>
          <w:sz w:val="20"/>
          <w:szCs w:val="20"/>
          <w:color w:val="auto"/>
        </w:rPr>
      </w:pPr>
    </w:p>
    <w:p>
      <w:pPr>
        <w:ind w:left="120"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trade secrets, which could be expensive, time consuming and unsuccessful.</w:t>
      </w:r>
    </w:p>
    <w:p>
      <w:pPr>
        <w:spacing w:after="0" w:line="5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Third parties may seek to market biosimilar versions of any approved products. Alternatively, third parties may seek approval to market their own products similar to or otherwise competitive with our product candidates. In these circumstances, we may need to defend or assert our patents, including by filing lawsuits alleging patent infringement.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or processes sufficient to achieve our business objectives.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8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following are examples of litigation and other adversarial proceedings or disputes that we could become a party to involving our patents or patents licensed to us:</w:t>
      </w:r>
    </w:p>
    <w:p>
      <w:pPr>
        <w:spacing w:after="0" w:line="67"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strategic partners may initiate litigation or other proceedings against third parties to enforce our patent or trade secret rights;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opposition or reexamination proceedings challenging the validity or scope of our patent rights, requiring us or our strategic partners and/or licensors to participate in such proceedings to defend the validity and scope of our patents;</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challenge or dispute regarding inventorship or ownership of patents or trade secrets currently identified as being solely or co-owned by us or by a licensor who has granted a license to us;</w:t>
      </w:r>
    </w:p>
    <w:p>
      <w:pPr>
        <w:spacing w:after="0" w:line="67" w:lineRule="exact"/>
        <w:rPr>
          <w:rFonts w:ascii="Times New Roman" w:cs="Times New Roman" w:eastAsia="Times New Roman" w:hAnsi="Times New Roman"/>
          <w:sz w:val="18"/>
          <w:szCs w:val="18"/>
          <w:color w:val="auto"/>
        </w:rPr>
      </w:pPr>
    </w:p>
    <w:p>
      <w:pPr>
        <w:jc w:val="both"/>
        <w:ind w:left="1080" w:right="26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USPTO may initiate an interference between patents or patent applications owned by or licensed to us and those of our competitors, requiring us or our strategic partners and/or licensors to participate in an interference proceeding to determine the priority of invention, which could jeopardize our patent rights; or</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These lawsuits and proceedings would be costly and could affect our results of operations and divert the attention of our managerial and scientific personnel. Adversaries in these proceedings may have the ability to dedicate substantially greater resources to prosecuting these legal actions than we or our licensors can. There is a risk that a court or administrative body would decide that our patents are invalid, unenforceable or not infringed or trade secrets not misappropriated by a third party’s activities, or that the scope of certain issued claims must be further limited. An adverse outcome in a litigation or proceeding involving our own patents or trade secrets could limit our ability to assert our patents or trade secrets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not be able to prevent, alone or with our licensors or licensees,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76" w:lineRule="exact"/>
        <w:rPr>
          <w:sz w:val="20"/>
          <w:szCs w:val="20"/>
          <w:color w:val="auto"/>
        </w:rPr>
      </w:pPr>
    </w:p>
    <w:p>
      <w:pPr>
        <w:jc w:val="both"/>
        <w:ind w:left="120" w:right="40"/>
        <w:spacing w:after="0" w:line="261"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w:t>
      </w:r>
    </w:p>
    <w:p>
      <w:pPr>
        <w:spacing w:after="0" w:line="180"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67"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develop a platform that is similar to, or better than, ours in a way that is not covered by the claims of our patents;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our patents;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make the inventions covered by patents or pending patent applications;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for these inventions;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patents that we obtain may not provide us with any competitive advantages or may ultimately be found invalid or unenforceable;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or that afford meaningful trade secret protection.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Patents have a limited lifespan. In the United States, if all maintenance fees are timely paid, the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legislation in other countries for extending the term of patents covering each of our product candidates, our business may be materially harmed.</w:t>
      </w:r>
    </w:p>
    <w:p>
      <w:pPr>
        <w:spacing w:after="0" w:line="5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the value of our technology and products could be adversely affected.</w:t>
      </w:r>
    </w:p>
    <w:p>
      <w:pPr>
        <w:spacing w:after="0" w:line="12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In addition to patent protection, we also rely on other proprietary rights, including protection of trade secrets, and other proprietary information. For example, we treat our confidential and proprietary computational technologies, including unpatented know-how and other proprietary information, as trade secrets. We enter into confidentiality agreements with our employees, consultants, strategic partners and others upon the commencement of their relationships with us. These agreements provide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in the course of rendering services to us shall be our exclusive property. However, we may not obtain these agreements in all circumstances, and individuals with whom we have these agreements may not comply with their terms. We cannot guarantee that we have entered into such agreements with each party that has or may have had access to, or houses or hosts, our trade secrets or proprietary information or that has been involved in the development of intellectual property. Further, despite such agreements, such inventions or confidential information may become disclosed or assigned to third parties. Monitoring unauthorized uses and disclosures is difficult and we do not know whether the steps we have taken to protect our proprietary technologies will be effective.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such technology or know-how or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9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information technology systems and cloud storage sources, but such security measures may be breached, including through cyber-hacking or cyberattacks, and we may not have adequate remedies for any breach.</w:t>
      </w:r>
    </w:p>
    <w:p>
      <w:pPr>
        <w:spacing w:after="0" w:line="176"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Enforcing a claim that a party illegally disclosed or misappropriated a trade secret is difficult, expensive and time-consuming and the outcome is unpredictable. In addition, some courts inside and outside the United States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19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Such trade secrets or other proprietary information could be awarded to a third party, and we could be required to obtain a license from such third party to commercialize our technology or products. Such license may not be available on commercially reasonable terms or at all. Even if we are successful in defending against these claims, litigation could result in substantial costs and be a distraction to management.</w:t>
      </w:r>
    </w:p>
    <w:p>
      <w:pPr>
        <w:spacing w:after="0" w:line="296" w:lineRule="exact"/>
        <w:rPr>
          <w:sz w:val="20"/>
          <w:szCs w:val="20"/>
          <w:color w:val="auto"/>
        </w:rPr>
      </w:pPr>
    </w:p>
    <w:p>
      <w:pPr>
        <w:ind w:left="120" w:right="9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Although we are not currently experiencing any claims challenging the inventorship or ownership of our patents, we may in the future be subject to claims that former employees, strategic partners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S-58</w:t>
      </w:r>
    </w:p>
    <w:p>
      <w:pPr>
        <w:sectPr>
          <w:pgSz w:w="11900" w:h="16838" w:orient="portrait"/>
          <w:cols w:equalWidth="0" w:num="1">
            <w:col w:w="11100"/>
          </w:cols>
          <w:pgMar w:left="320" w:top="455"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ownership of, or right to use, valuable intellectual property. Even if we are successful in defending against such claims, litigation could result in substantial costs and be a distraction to management and other employees.</w:t>
      </w:r>
    </w:p>
    <w:p>
      <w:pPr>
        <w:spacing w:after="0" w:line="266"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protection and patent prosecution for some of our product candidates may be dependent on, and the ability to assert patents and defend them against claims of invalidity may be maintained by, third parties.</w:t>
      </w:r>
    </w:p>
    <w:p>
      <w:pPr>
        <w:spacing w:after="0" w:line="5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There may be times in the future when certain patents that relate to our product candidates or any approved products are controlled by our licensees or licensors.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w:t>
      </w:r>
    </w:p>
    <w:p>
      <w:pPr>
        <w:spacing w:after="0" w:line="180"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that adversely affects such coverage, our ability to develop and commercialize any such product candidate may be adversely affected and we may not be able to prevent competitors from making, using and selling competing products.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products.</w:t>
      </w:r>
    </w:p>
    <w:p>
      <w:pPr>
        <w:spacing w:after="0" w:line="121" w:lineRule="exact"/>
        <w:rPr>
          <w:sz w:val="20"/>
          <w:szCs w:val="20"/>
          <w:color w:val="auto"/>
        </w:rPr>
      </w:pPr>
    </w:p>
    <w:p>
      <w:pPr>
        <w:ind w:left="120" w:right="40"/>
        <w:spacing w:after="0" w:line="274" w:lineRule="auto"/>
        <w:rPr>
          <w:sz w:val="20"/>
          <w:szCs w:val="20"/>
          <w:color w:val="auto"/>
        </w:rPr>
      </w:pPr>
      <w:r>
        <w:rPr>
          <w:rFonts w:ascii="Times New Roman" w:cs="Times New Roman" w:eastAsia="Times New Roman" w:hAnsi="Times New Roman"/>
          <w:sz w:val="17"/>
          <w:szCs w:val="17"/>
          <w:color w:val="auto"/>
        </w:rPr>
        <w:t>The patent positions of pharmaceutical and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in our strategic partners’ patents or in third-party patents.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has created uncertainty with respect to the validity, scope and value of patents, once obtained.</w:t>
      </w:r>
    </w:p>
    <w:p>
      <w:pPr>
        <w:spacing w:after="0" w:line="173"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For our U.S. patent applications containing a priority claim after March 16, 2013, there is a greater level of uncertainty in the patent law. In September 2011, the Leahy-Smith America Invents Act, also known as the America Invents Act (“AIA”) was signed into law. The AIA includes a number of significant changes to U.S. patent law, including provisions that affect the way patent applications will be prosecuted and may also affect patent litigation.</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AIA and its implementation could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files a patent application in the USPTO after March 16, 2013, but before us, could be awarded a patent covering a given invention, even if we had made the invention before it was made by the third party. This requires us to be cognizant of the time from invention to filing of a patent application.</w:t>
      </w:r>
    </w:p>
    <w:p>
      <w:pPr>
        <w:spacing w:after="0" w:line="187"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76"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12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effective or sufficient to prevent them from competing. Recent U.S. Supreme Court cases have narrowed the scope of what is considered patentable subject matter, for example, in the areas of software and diagnostic methods involving the association between treatment outcome and biomarkers. This could impact our ability to patent certain aspects of our technology in the United States.</w:t>
      </w:r>
    </w:p>
    <w:p>
      <w:pPr>
        <w:spacing w:after="0" w:line="19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jurisdictions other than the United States. The legal systems of certain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Additionally, the requirements for patentability may differ in certain countries. For example, China has a heightened requirement for patentability, and specifically requires a detailed description of medical uses of a claimed drug. In India, unlike the United States, there is no link between regulatory approval of a drug and its patent status.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8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Geo-political actions in the United States and in foreign countries could increase the uncertainties and costs surrounding the prosecution or maintenance of our patent applications or those of any current or future licensors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or licensees and the maintenance, enforcement or defense of our issued patents or those of any current or future licensors or licensees. For example, the United States, Canadian, and foreign government actions related to Russia’s invasion of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that have citizenship or nationality in, are registered in, or have a predominately primary place of business or profit-making activities in the United States and other countries that Russia has deemed unfriendly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298"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in connection with our internal research and development programs, which could negatively affect our ability to develop products and subject us to litigation or other actions.</w:t>
      </w:r>
    </w:p>
    <w:p>
      <w:pPr>
        <w:spacing w:after="0" w:line="51"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We use open source software in connection with our internal research and development programs. The terms of many open source licenses have not been interpreted by U.S. courts or courts outside of the U.S., and there is a risk that these licenses could be construed in a way that could impose unanticipated conditions or restrictions on our ability to use this software. As a result, we could be subject to lawsuits by parties claiming ownership of what we believe to be open source software, or claiming that software we developed using such open source software is a derivative work of open source software and demanding the release of portions of our source code, or otherwise seeking to enforce the terms of the applicable open source license. Litigation could be costly for us to defend, have a negative effect on our financial condition and results of operations or require us to devote additional research and development resources to change our platform and offerings.</w:t>
      </w:r>
    </w:p>
    <w:p>
      <w:pPr>
        <w:spacing w:after="0" w:line="18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we were to combine our proprietary software with open source software in a certain manner, we could, under certain open source licenses, be required to release the source code of our proprietary software to the public.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If we inappropriately use open source software, or if the license terms for open source software that we use change, we may be required to re-engineer our platform, incur additional costs, discontinue the use of some or all of our platform or take other remedial actions.</w:t>
      </w:r>
    </w:p>
    <w:p>
      <w:pPr>
        <w:spacing w:after="0" w:line="187"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addition to risks related to license requirements, usage of open source software can lead to greater risks than use of third-party commercial software, because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the use of open source software, but we cannot be sure that all of our use of open source software is in a manner that is consistent with our current policies and procedures, or will not subject us to liability. Any of these risks could be difficult to eliminate or manage and, if not addressed, could have an adverse effect on our business, financial condition and results of operations.</w:t>
      </w:r>
    </w:p>
    <w:p>
      <w:pPr>
        <w:spacing w:after="0" w:line="293"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for any proposed product candidate names, and any failure or delay associated with such approval may adversely affect our business.</w:t>
      </w:r>
    </w:p>
    <w:p>
      <w:pPr>
        <w:spacing w:after="0" w:line="51"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S-61</w:t>
      </w:r>
    </w:p>
    <w:p>
      <w:pPr>
        <w:sectPr>
          <w:pgSz w:w="11900" w:h="16838" w:orient="portrait"/>
          <w:cols w:equalWidth="0" w:num="1">
            <w:col w:w="11100"/>
          </w:cols>
          <w:pgMar w:left="320" w:top="455" w:right="4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confusion with other product names.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Additional Legal and Compliance Matters</w:t>
      </w:r>
    </w:p>
    <w:p>
      <w:pPr>
        <w:spacing w:after="0" w:line="117"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may engage in misconduct or other improper activities, including noncompliance with regulatory standards and requirements, insider trading, and noncompliance with our policies and procedures.</w:t>
      </w:r>
    </w:p>
    <w:p>
      <w:pPr>
        <w:spacing w:after="0" w:line="5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could include intentional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and Business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 In addition, employees may become subject of allegations of gender discrimination and other misconduct that are not in compliance with our policies and procedures, which, regardless of the ultimate outcome, may result in adverse publicity that could materially harm our brand, reputation and business.</w:t>
      </w:r>
    </w:p>
    <w:p>
      <w:pPr>
        <w:spacing w:after="0" w:line="301"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contractors or agents market products in a manner that violates healthcare fraud and abuse laws, or if we violate government price reporting laws and transparency laws, we may be subject to civil or criminal penalties.</w:t>
      </w:r>
    </w:p>
    <w:p>
      <w:pPr>
        <w:spacing w:after="0" w:line="51"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In addition to FDA restrictions on the marketing of pharmaceutical products, federal and state healthcare laws restrict certain business practices in the biopharmaceutical industry. Although we currently do not have any products on the market, we may be subject, and if our product candidates are approved and we begin commercialization will be subject, to additional healthcare laws and regulations enforced by the federal government and by authorities in the states and foreign jurisdictions in which we conduct our business. These state and federal healthcare laws, commonly referred to as “fraud and abuse” laws, have been applied in recent years to restrict certain marketing practices in the pharmaceutical industry, and include anti-kickback, false claims, data privacy and security and transparency statutes and regulations.</w:t>
      </w:r>
    </w:p>
    <w:p>
      <w:pPr>
        <w:spacing w:after="0" w:line="18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Federal false claims laws prohibit, among other things, any person from knowingly presenting, or causing to be presented, a false claim for payment to the federal government or knowingly making, or causing to be made, a false statement to get a false claim paid. 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Most states also have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S-62</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statutes or regulations similar to the federal anti-kickback law and federal false claims laws, which may apply to items such as pharmaceutical products and services reimbursed by private insurers. Administrative, civil and criminal sanctions may be imposed under these federal and state laws.</w:t>
      </w:r>
    </w:p>
    <w:p>
      <w:pPr>
        <w:spacing w:after="0" w:line="162"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The federal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HIPAA created new federal criminal statutes that prohibit knowingly and willfully executing, or attempting to execute, a scheme to defraud or obtain, by means of false or fraudulent pretenses, representations, or promises, any of the money or property owned by, or under the custody or control of,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w:t>
      </w:r>
    </w:p>
    <w:p>
      <w:pPr>
        <w:spacing w:after="0" w:line="180"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 addition, we may be subject to data privacy and security regulation by both the federal government and the states in which we conduct our business. HIPAA, as amended by HITECH, and its implementing regulations, imposes certain requirements relating to the privacy, security and transmission of individually identifiable health information. Among other things, HITECH makes HIPAA’s security standards directly applicable to business associates-independent contractors or agents of covered entities that receive or obtain protected health information in connection with providing a service on behalf of a covered entity. HITECH also created four new tiers of civil monetary penalties, and newly empowered state attorneys general with the authority to enforce HIPAA. In January 2013, the Office for Civil Rights of the U.S. Department of Health and Human Services issued the Final Omnibus Rule under HIPAA pursuant to HITECH that makes significant changes to the privacy, security and breach notification requirements and penalties. The Final Omnibus Rule generally took effect in September 2013 and enhances certain privacy and security protections, and strengthens the government’s ability to enforce HIPAA. The Final Omnibus Rule also enhanced requirements for both covered entities and business associates regarding notification of breaches of unsecured protected health information. In addition, state laws govern the privacy and security of health information in certain circumstances, many of which differ from each other in significant ways. These state laws may not have the same effect and often are not preempted by HIPAA, thus complicating compliance efforts.</w:t>
      </w:r>
    </w:p>
    <w:p>
      <w:pPr>
        <w:spacing w:after="0" w:line="190"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Additionally, the PPACA also included the federal Physician Payments Sunshine Act, which requires applicable group purchasing organizations and manufacturers of drugs, devices, biologics and medical supplies for which payment is available under Medicare, Medicaid or the Children’s Health Insurance Program (with certain exceptions) to report annually information related to certain payments or other transfers of value made in the previous year to covered recipients, including physicians, as defined by law, and teaching hospitals and, effective for data reported in 2022, expanded to include nurse practitioners, physician assistants, clinical nurse specialists, certified registered nurse anesthetists and anesthesiologist assistants, and certified nurse-midwives, including certain ownership and investment interests held by physicians or their immediate family members. Failure to comply with the required reporting requirements could subject applicable reporting entities such as manufacturers to substantial civil monetary penalties.</w:t>
      </w:r>
    </w:p>
    <w:p>
      <w:pPr>
        <w:spacing w:after="0" w:line="18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Also, many states have similar healthcare statutes or regulations that apply to items and services reimbursed under Medicaid and other state programs, or, in several states, apply regardless of the payor. Certain states require pharmaceutical companies to implement a comprehensive compliance program that includes a limit or outright ban on expenditures for, or payments to, individual medical or health professionals and/or require pharmaceutical companies to track and report gifts and other payments made to physicians and other healthcare providers.</w:t>
      </w:r>
    </w:p>
    <w:p>
      <w:pPr>
        <w:spacing w:after="0" w:line="180"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healthcare laws or regulations described above or any other laws that apply to us, we may be subject to penalties, including potentially significant criminal, civil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S-63</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administrative penalties, damages, fines, disgorgement, individual imprisonment, exclusion of products from reimbursement under government programs, contractual damages, reputational harm, administrative burdens, diminished profits and future earnings or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fraud and abuse laws, and implementation of corporate compliance programs and reporting of payments or transfers of value to healthcare professionals.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comply with laws regulating the protection of the environment and health and human safety, our business could be adversely affected.</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Washington State and the Province of British Columbia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17" w:lineRule="exact"/>
        <w:rPr>
          <w:sz w:val="20"/>
          <w:szCs w:val="20"/>
          <w:color w:val="auto"/>
        </w:rPr>
      </w:pPr>
    </w:p>
    <w:p>
      <w:pPr>
        <w:ind w:left="120" w:right="9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achieve the expected cost savings and related benefits from our reduction in workforce initiated in January 2022 and the announcement of our key strategic priorities for 2022 and 2023.</w:t>
      </w:r>
    </w:p>
    <w:p>
      <w:pPr>
        <w:spacing w:after="0" w:line="5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January 2022, we announced a plan to reduce our workforce to reflect our renewed focus on key priorities and enable us to help achieve a more cost-efficient organization necessary to execute on those priorities. The target of the reduction in workforce was to reduce employee headcount by at least 25% by the end of 2022. As of March 31, 2022, we exceeded the previously announced workforce reduction of 25%, ahead of schedule; however, the full scope, scale and impact of the reduction in workforce is not yet known. In January 2022, we also announced our key strategic priorities for 2022 and 2023.</w:t>
      </w:r>
    </w:p>
    <w:p>
      <w:pPr>
        <w:spacing w:after="0" w:line="183"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may fail to effectively execute on, or achieve the stated goals of, the reduction in workforce or our key strategic priorities. Our plans may also change as we continue to refocus on our key priorities. These actions may take more time than we currently estimate and we may not be able to achieve the cost-efficiencies sought. In addition, the reduction in workforce may negatively impact employee morale for those that are not directly impacted, which may increase employee attrition and hinder our ability to achieve our key priorities. Furthermore, certain of our stockholders may not agree with our key strategic priorities or the decisions we have or may make to execute on those priorities. Any failure to achieve the expected benefits from the reduction in workforce or from other recent management and personnel related changes could adversely affect our stock price, financial condition and ability to achieve our key priorities, as well as lead to stockholder complaints and litigation.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are highly dependent on key members of our senior management team, including Kenneth Galbraith, the Chair of our board of directors and Chief Executive Officer, Neil Klompas, our President and Chief Operating Officer, Neil Josephson, our Chief Medical Officer, Christopher Astle, our Chief Financial Officer, Paul Moore, our Chief Scientific Officer, and other key members of our senior management, scientific and clinical teams. Although we have entered into employment agreements with our executive officers, each of them may terminate their employment with us at any time. The loss of the services of our key senior managers and employees could impede the achievement of our research, development and commercialization objectives and seriously harm our ability to successfully implement our business strategy.</w:t>
      </w:r>
    </w:p>
    <w:p>
      <w:pPr>
        <w:spacing w:after="0" w:line="18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Retention and any future recruitment of qualified scientific, technical, clinical, manufacturing and sales and marketing personnel will also be critical to our success. In addition, we will need to effectively manage our managerial, operational, financial, development and other resources in order to successfully pursue our research, development and commercialization efforts for our existing and future product candidates. Furthermore, replacing key senior managers and employees may be difficult and may take an extended period of time because of the limited talent pool in our industry due to the breadth of skills and experience required to successfully develop, gain regulatory approval of and commercialize products. The reduction in workforce announced in January 2022 may also make retention of our current personnel both more important and more challenging. Intense competition for attracting key skill-sets and the impact of inflationary pressure on wages may limit our ability to attract, retain and motivate key personnel on acceptable terms.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If we are unable to continue to attract and retain high quality personnel, our ability to pursue our business strategy will be limited.</w:t>
      </w:r>
    </w:p>
    <w:p>
      <w:pPr>
        <w:spacing w:after="0" w:line="294"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we advance our development and commercialization plans and strategies, we may need to grow or modify our organization, and we may experience difficulty in managing such change, which could disrupt our operations.</w:t>
      </w:r>
    </w:p>
    <w:p>
      <w:pPr>
        <w:spacing w:after="0" w:line="51" w:lineRule="exact"/>
        <w:rPr>
          <w:sz w:val="20"/>
          <w:szCs w:val="20"/>
          <w:color w:val="auto"/>
        </w:rPr>
      </w:pPr>
    </w:p>
    <w:p>
      <w:pPr>
        <w:ind w:left="120" w:right="60"/>
        <w:spacing w:after="0" w:line="252" w:lineRule="auto"/>
        <w:rPr>
          <w:sz w:val="20"/>
          <w:szCs w:val="20"/>
          <w:color w:val="auto"/>
        </w:rPr>
      </w:pPr>
      <w:r>
        <w:rPr>
          <w:rFonts w:ascii="Times New Roman" w:cs="Times New Roman" w:eastAsia="Times New Roman" w:hAnsi="Times New Roman"/>
          <w:sz w:val="18"/>
          <w:szCs w:val="18"/>
          <w:color w:val="auto"/>
        </w:rPr>
        <w:t>As of September 30, 2022, we had 286 full-time employees. In January 2022, we announced a plan to reduce employee headcount by at least 25% by the end of 2022. As of March 31, 2022, we exceeded that 25% target. However, as we advance our development and commercialization plans and strategies in the future, we anticipate that we may need to expand or modify our employee base. Additionally, as our product candidates enter and advance through preclinical studies and any clinical trials, we may need to expand our development, manufacturing, regulatory sales and marketing capabilities or contract with other organizations to provide these capabilities for us. Future growth would impose significant added responsibilities on members of management, including the need to identify, recruit, maintain, motivate and integrate additional employees. Also, our management may need to divert a disproportionate amount of their attention away from our day-to-day activities and devote a substantial amount of time to managing any necessary growth activities. We may not be able to effectively manage an expansion of our operations, which may result in weaknesses in our infrastructure, give rise to operational errors, loss of business opportunities, loss of employees and reduced productivity amongst remaining employees. Any growth could require significant capital expenditures and may divert financial resources from other projects, such as the development of existing and additional product candidates. If our management is unable to effectively manage any needed growth, our expenses may increase more than expected, our ability to generate or grow revenue could be reduced and we may not be able to implement our business strategy. Our future financial performance and our ability to commercialize our product candidates and compete effectively with others in our industry will depend on our ability to effectively manage any future growth.</w:t>
      </w:r>
    </w:p>
    <w:p>
      <w:pPr>
        <w:spacing w:after="0" w:line="13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S-65</w:t>
      </w:r>
    </w:p>
    <w:p>
      <w:pPr>
        <w:sectPr>
          <w:pgSz w:w="11900" w:h="16838" w:orient="portrait"/>
          <w:cols w:equalWidth="0" w:num="1">
            <w:col w:w="11120"/>
          </w:cols>
          <w:pgMar w:left="320" w:top="455" w:right="4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the Offering</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likely to be volatile and the market price of our common stock after this offering may drop below the price you pay.</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You should consider an investment in our common stock as risky and invest only if you can withstand a significant loss and wide fluctuations in the market value of their investment. You may be unable to sell their common stock at or above the price they paid for such shares due to fluctuations in the market price of our common stock arising from changes in our operating performance or prospects. Some of the factors that may cause the market price of our common stock to fluctuate or decrease below the price paid in this offering include:</w:t>
      </w:r>
    </w:p>
    <w:p>
      <w:pPr>
        <w:spacing w:after="0" w:line="85" w:lineRule="exact"/>
        <w:rPr>
          <w:sz w:val="20"/>
          <w:szCs w:val="20"/>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and timing of our clinical trials and clinical trials of our competitors’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receive the upfront payments from Jazz pursuant to the Jazz Collaboration Agreement, which payments are dependent upon receipt of HSR Clearance for the first $50 million upfront payment and, for the second $325 million upfront payment, upon Jazz’s decision to continue our collaboration following its receipt of topline data from our HERIZON-BTC-01 trial;</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milestones and receive associated milestone payments pursuant to the terms of our collaboration agreements;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in manufacturing our product candidates or future approved products;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or enforcement in the United States and foreign countries with respect to our product candidates or our competitors’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technological innovations or new commercial products by us or our competitors;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strategic partners or our competitors of significant acquisitions, strategic partnerships, joint ventures, or capital commitments;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estimates or recommendations by securities analysts that cover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in the biotechnology industry or otherwise perceived by investors to be comparable to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actions by All Blue Falcons, including any subsequent proposals to acquire our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or litigation related to the Rights Agreement (as defined below);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over our product candidates or any future approved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and volume fluctuations attributable to inconsistent trading volume levels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including developments relating to our reduction in workforce announced in January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key strategic priorities announced in January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 care payment systems in the United States or other countries;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product candidates, if approved, to achieve commercial success;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S-66</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external factors or other disasters or crises, such as the COVID-19 pandemic;</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condition and results of operations, including the timing of receipt of any milestone or other payments under commercialization or licensing agreements;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and market conditions for biopharmaceutical stocks;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disagreements or disputes with certain of our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fluctuations in U.S. equity markets;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be unanticipated or out of our control.</w:t>
      </w:r>
    </w:p>
    <w:p>
      <w:pPr>
        <w:spacing w:after="0" w:line="225" w:lineRule="exact"/>
        <w:rPr>
          <w:sz w:val="20"/>
          <w:szCs w:val="20"/>
          <w:color w:val="auto"/>
        </w:rPr>
      </w:pPr>
    </w:p>
    <w:p>
      <w:pPr>
        <w:ind w:left="120"/>
        <w:spacing w:after="0" w:line="273" w:lineRule="auto"/>
        <w:rPr>
          <w:sz w:val="20"/>
          <w:szCs w:val="20"/>
          <w:color w:val="auto"/>
        </w:rPr>
      </w:pPr>
      <w:r>
        <w:rPr>
          <w:rFonts w:ascii="Times New Roman" w:cs="Times New Roman" w:eastAsia="Times New Roman" w:hAnsi="Times New Roman"/>
          <w:sz w:val="17"/>
          <w:szCs w:val="17"/>
          <w:color w:val="auto"/>
        </w:rPr>
        <w:t>In addition, the stock market in general, and the stock of biopharmaceutical companies in particular, have experienced extreme price and volume fluctuations that have often been unrelated or disproportionate to the operating performance of the relevant companies, including recently in connection with the ongoing COVID-19 pandemic, which has resulted in increased volatility and decreased stock prices for many companies notwithstanding the lack of a fundamental change in their underlying business models or prospects. Broad market and industry factors, including potentially worsening economic conditions and other adverse effects or developments relating to the ongoing COVID-19 pandemic, may negatively affect the market price of our common stock, regardless of our actual operating performance. The realization of any of the above risks or any of a broad range of other risks, including those described in this “Risk Factors” section, could have a material adverse effect on the market price of our common stock.</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Our common stock was first listed on the NYSE in connection with the completion of the Redomicile Transactions on October 13, 2022. There can be no assurance that an active trading market for our common stock will be sustained or continue to be as active or liquid as was the trading market for Zymeworks BC’s common shares prior to the Redomicile Transactions, and the trading price of our common stock may be effectively lower than the trading price of Zymeworks BC’s common shares. If an active market for our common stock does not continue, it may be difficult for our stockholders to sell their stock without depressing the market price for the common stock or sell their common stock at or above the prices at which they acquired their common stock or sell their common stock at the time they would like to sell. Any inactive trading market for our common stock may also impair our ability to raise capital to continue to fund our operations by selling common stock and may impair our ability to acquire other companies or technologies by using our common stock as consideration.</w:t>
      </w:r>
    </w:p>
    <w:p>
      <w:pPr>
        <w:spacing w:after="0" w:line="296"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common stock, or the perception that these sales could occur, may cause the price of our common stock to drop significantly, even if our business is performing well.</w:t>
      </w:r>
    </w:p>
    <w:p>
      <w:pPr>
        <w:spacing w:after="0" w:line="5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 large volume of sales of our common stock could decrease the prevailing market price of our common stock and could impair our ability to raise additional capital through the sale of equity securities in the future. Even if a substantial number of sales of our common stock does not occur, the mere perception of the possibility of these sales could depress the market price of our common stock and have a negative effect on our ability to raise capital in the future.</w:t>
      </w:r>
    </w:p>
    <w:p>
      <w:pPr>
        <w:spacing w:after="0" w:line="284" w:lineRule="exact"/>
        <w:rPr>
          <w:sz w:val="20"/>
          <w:szCs w:val="20"/>
          <w:color w:val="auto"/>
        </w:rPr>
      </w:pPr>
    </w:p>
    <w:p>
      <w:pPr>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to use the net proceeds from public and private and debt financings, including the net proceeds we receive in this offering, and its investment of these proceeds may not yield a favorable return. They may invest the proceeds in ways with which our stockholders disagree.</w:t>
      </w:r>
    </w:p>
    <w:p>
      <w:pPr>
        <w:spacing w:after="0" w:line="67" w:lineRule="exact"/>
        <w:rPr>
          <w:sz w:val="20"/>
          <w:szCs w:val="20"/>
          <w:color w:val="auto"/>
        </w:rPr>
      </w:pPr>
    </w:p>
    <w:p>
      <w:pPr>
        <w:jc w:val="both"/>
        <w:ind w:left="120" w:right="40"/>
        <w:spacing w:after="0" w:line="289" w:lineRule="auto"/>
        <w:rPr>
          <w:sz w:val="20"/>
          <w:szCs w:val="20"/>
          <w:color w:val="auto"/>
        </w:rPr>
      </w:pPr>
      <w:r>
        <w:rPr>
          <w:rFonts w:ascii="Times New Roman" w:cs="Times New Roman" w:eastAsia="Times New Roman" w:hAnsi="Times New Roman"/>
          <w:sz w:val="17"/>
          <w:szCs w:val="17"/>
          <w:color w:val="auto"/>
        </w:rPr>
        <w:t>Our management team has broad discretion in the application of the net proceeds we received pursuant to our January 2022 public offering of common shares and pre-funded warrants to purchase common shares, as well as net proceeds we may receive from future fundraising efforts, including pursuant to any “at-the-market” equity offering programs we may use from time to time, and we could spend or invest the proceeds in ways with which</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S-67</w:t>
      </w:r>
    </w:p>
    <w:p>
      <w:pPr>
        <w:sectPr>
          <w:pgSz w:w="11900" w:h="16838" w:orient="portrait"/>
          <w:cols w:equalWidth="0" w:num="1">
            <w:col w:w="11040"/>
          </w:cols>
          <w:pgMar w:left="320" w:top="455" w:right="5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stockholders disagree. Accordingly, stockholders will need to rely on our management team’s judgment with respect to the use of these proceeds.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the failure by management to apply these funds effectively could negatively affect our ability to operate and grow our business.</w:t>
      </w:r>
    </w:p>
    <w:p>
      <w:pPr>
        <w:spacing w:after="0" w:line="20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cannot specify with certainty all of the particular uses for the net proceeds to be received from our fundraising efforts. In addition, the amount, allocation and timing of our actual expenditures will depend upon numerous factors, including milestone payments received from our strategic partnerships and royalties received on sale of any future approved product. Accordingly, we will have broad discretion in using these proceeds. Until the net proceeds are used, they may be placed in investments that do not produce significant income or that may lose value.</w:t>
      </w:r>
    </w:p>
    <w:p>
      <w:pPr>
        <w:spacing w:after="0" w:line="284" w:lineRule="exact"/>
        <w:rPr>
          <w:sz w:val="20"/>
          <w:szCs w:val="20"/>
          <w:color w:val="auto"/>
        </w:rPr>
      </w:pPr>
    </w:p>
    <w:p>
      <w:pPr>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sold in this offering, you will experience immediate and substantial dilution in the net tangible book value of your shares. In addition, we may issue additional equity or convertible debt securities in the future, which may result in additional dilution to investors.</w:t>
      </w:r>
    </w:p>
    <w:p>
      <w:pPr>
        <w:spacing w:after="0" w:line="67"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price per share of our common stock being offered may be higher than the net tangible book value per share of our outstanding common stock prior to this offering. Assuming that an aggregate of 19,659,239 shares of our common stock are sold at a price of $7.63 per share, the last reported sale price of our common stock on the NYSE on November 8, 2022, for aggregate gross proceeds of approximately $150.0 million, and after deducting commissions and estimated offering expenses payable by us, new investors in this offering would incur immediate dilution of $4.12 per share. For a more detailed discussion of the foregoing, see the section entitled “Dilution” below. To the extent outstanding stock options or warrants are exercised, there will be further dilution to new investors. In addition, to the extent we need to raise additional capital in the future and we issue additional shares of common stock or securities convertible or exchangeable for our common stock, our then existing stockholders may experience dilution and the new securities may have rights senior to those of our common stock offered in this offering.</w:t>
      </w:r>
    </w:p>
    <w:p>
      <w:pPr>
        <w:spacing w:after="0" w:line="296"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for the foreseeable future, and accordingly, stockholders must rely on stock appreciation for any return on their investment.</w:t>
      </w:r>
    </w:p>
    <w:p>
      <w:pPr>
        <w:spacing w:after="0" w:line="5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We have never paid any dividends on our common stock. We currently intend to retain our future earnings, if any, to fund the development and growth of our business and do not anticipate that we will declare or pay any cash dividends on our common stock in the foreseeable future. As a result, capital appreciation, if any, of our common stock will be the sole source of gain on investment in our common stock for the foreseeable future. Investors seeking cash dividends should not invest in our common stock.</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Any future determination to pay dividends will be at the discretion of our board of directors and will depend upon many factors, including our results of operations, financial position, capital requirements, distributable reserves, credit terms, general economic conditions and other factors as our board of directors may deem relevant from time to time. Consequently, future dividends payable to investors are not guaranteed.</w:t>
      </w:r>
    </w:p>
    <w:p>
      <w:pPr>
        <w:spacing w:after="0" w:line="280" w:lineRule="exact"/>
        <w:rPr>
          <w:sz w:val="20"/>
          <w:szCs w:val="20"/>
          <w:color w:val="auto"/>
        </w:rPr>
      </w:pPr>
    </w:p>
    <w:p>
      <w:pPr>
        <w:ind w:left="120"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in aggregate, could exert substantial control over us which could delay or prevent a change in corporate control or result in the entrenchment of management or the board of directors.</w:t>
      </w:r>
    </w:p>
    <w:p>
      <w:pPr>
        <w:spacing w:after="0" w:line="5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Our principal stockholders, being our stockholders that beneficially own (or upon exercise of convertible securities would own) 10% or more of our common stock, together with their affiliates and related persons, in aggregate, own or could acquire (contingent upon the exercise of convertible securities they own, and without taking into account any ownership limitation contained in such convertible securities) approximately 24.2% of our outstanding common stock as of September 30, 2022 (18.3% excluding the exercise of convertible securities). Our directors and named executive officers beneficially own, in the aggregate, approximately 1.5% of our outstanding common stock as of September 30, 2022. Our principal stockholders, if acting together (with or without our directors and named executive officers), may have the ability to exert substantial control over the</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S-68</w:t>
      </w:r>
    </w:p>
    <w:p>
      <w:pPr>
        <w:sectPr>
          <w:pgSz w:w="11900" w:h="16838" w:orient="portrait"/>
          <w:cols w:equalWidth="0" w:num="1">
            <w:col w:w="11100"/>
          </w:cols>
          <w:pgMar w:left="320" w:top="455" w:right="4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outcome of matters submitted to our stockholders for approval, including the election and removal of directors and any merger or sale of all or substantially all of our assets. In addition, our principal stockholders, if acting together (with or without our directors and named executive officers), may have the ability to exert substantial control over the management and affairs of our company. Accordingly, this concentration of ownership could harm the market price of our common stock by:</w:t>
      </w:r>
    </w:p>
    <w:p>
      <w:pPr>
        <w:spacing w:after="0" w:line="85"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entrenching our management or the board of directors;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takeover, or other business combination involving 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329"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recently qualified as a smaller reporting company, and any decision on our part to comply only with certain reduced reporting and disclosure requirements applicable to such companies could make our common stock less attractive to investors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As a result of our public float (the market value of our common stock held by non-affiliates) as of June 30, 2022, we qualify as a “smaller reporting company,” as defined under the Exchange Act. In addition, beginning with our Annual Report on Form 10-K for the year ending December 31, 2022, we will be a “non-accelerated filer” as defined under the Exchange Act. For as long as we continue to be a smaller reporting company or a non-accelerated filer, we may choose to take advantage of exemptions from various reporting requirements applicable to other public companies that are not smaller reporting companies or non-accelerated filers, as applicable, including, but not limited to, an exemption from the requirement that our independent registered public accounting firm attest to the effectiveness of our internal control over financial reporting under Section 404. If we choose not to obtain such attestation from our independent registered public accounting firm, it may have a detrimental impact on our ability to maintain the adequacy of our internal control over financial reporting, and any failure to maintain adequacy, or inability to produce accurate financial statements or other reports on a timely basis, could increase our operating costs and could materially impair our ability to operate our business.</w:t>
      </w:r>
    </w:p>
    <w:p>
      <w:pPr>
        <w:spacing w:after="0" w:line="188" w:lineRule="exact"/>
        <w:rPr>
          <w:sz w:val="20"/>
          <w:szCs w:val="20"/>
          <w:color w:val="auto"/>
        </w:rPr>
      </w:pPr>
    </w:p>
    <w:p>
      <w:pPr>
        <w:ind w:left="120" w:right="120"/>
        <w:spacing w:after="0" w:line="289" w:lineRule="auto"/>
        <w:rPr>
          <w:sz w:val="20"/>
          <w:szCs w:val="20"/>
          <w:color w:val="auto"/>
        </w:rPr>
      </w:pPr>
      <w:r>
        <w:rPr>
          <w:rFonts w:ascii="Times New Roman" w:cs="Times New Roman" w:eastAsia="Times New Roman" w:hAnsi="Times New Roman"/>
          <w:sz w:val="17"/>
          <w:szCs w:val="17"/>
          <w:color w:val="auto"/>
        </w:rPr>
        <w:t>If we choose to rely on any of these disclosure exemptions, the information we provide stockholders will be different than the information that is available with respect to other public companies. Moreover, if some investors find our common stock less attractive as a result of any choices to reduce future disclosure, there may be a less active trading market for our common stock and the market price of our common stock may be more volatile.</w:t>
      </w:r>
    </w:p>
    <w:p>
      <w:pPr>
        <w:spacing w:after="0" w:line="262"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amended and restated certificate of incorporation and amended and restated bylaws might delay, discourage or prevent a change in control of Zymeworks or changes in our management, thereby depressing the market price of our common stock.</w:t>
      </w:r>
    </w:p>
    <w:p>
      <w:pPr>
        <w:spacing w:after="0" w:line="5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may make the acquisition of Zymeworks more difficult or delay or prevent changes in control of its management. Among other things, these provisions will:</w:t>
      </w:r>
    </w:p>
    <w:p>
      <w:pPr>
        <w:spacing w:after="0" w:line="67" w:lineRule="exact"/>
        <w:rPr>
          <w:sz w:val="20"/>
          <w:szCs w:val="20"/>
          <w:color w:val="auto"/>
        </w:rPr>
      </w:pPr>
    </w:p>
    <w:p>
      <w:pPr>
        <w:ind w:left="1080" w:right="58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shares of preferred stock and determine the price and other terms of those shares, including preferences and voting rights, without stockholder approval;</w:t>
      </w:r>
    </w:p>
    <w:p>
      <w:pPr>
        <w:spacing w:after="0" w:line="67" w:lineRule="exact"/>
        <w:rPr>
          <w:rFonts w:ascii="Times New Roman" w:cs="Times New Roman" w:eastAsia="Times New Roman" w:hAnsi="Times New Roman"/>
          <w:sz w:val="18"/>
          <w:szCs w:val="18"/>
          <w:color w:val="auto"/>
        </w:rPr>
      </w:pPr>
    </w:p>
    <w:p>
      <w:pPr>
        <w:jc w:val="both"/>
        <w:ind w:left="1080" w:right="420" w:hanging="424"/>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only the board of directors to establish the number of directors and fill vacancies and newly created directorships on the board, provided that the board of directors’ ability to increase the size of the board and fill vacancies and newly created directorships will be subject to the restrictions in our amended and restated certificate of incorporation and amended and restated bylaws;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S-69</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members of our board of directors serve in one of three staggered terms of three years each;</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only be removed by the affirmative vote of at least 66 2/3% of the voting power of the shares cast on such proposal;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stockholders to only take actions at a duly called annual or special meeting and not by written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stockholders give advance notice to nominate directors or submit proposals for consideration at stockholder meetings;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in the election of directors;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Zymeworks’ stockholders may be called only by the board of directors, the chairperson of the board of directors, Zymeworks’ chief executive officer, president or the secretary upon request from holders of no less than 20% of our outstanding voting stock, subject to the limitations and requirements set forth in our amended and restated bylaws;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vote of stockholders to amend some of the provisions described above.</w:t>
      </w:r>
    </w:p>
    <w:p>
      <w:pPr>
        <w:spacing w:after="0" w:line="225" w:lineRule="exact"/>
        <w:rPr>
          <w:sz w:val="20"/>
          <w:szCs w:val="20"/>
          <w:color w:val="auto"/>
        </w:rPr>
      </w:pPr>
    </w:p>
    <w:p>
      <w:pPr>
        <w:jc w:val="both"/>
        <w:ind w:left="120" w:right="340"/>
        <w:spacing w:after="0" w:line="266" w:lineRule="auto"/>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 Section 203 of the DGCL, which generally prohibits a Delaware corporation from engaging in any of a broad range of business combinations with any “interested stockholder” for a period of three years following the date on which the stockholder became an “interested stockholder” unless certain conditions are met.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discourage or prevent a transaction involving a change in control of Zymeworks. These provisions could also discourage proxy contests and make it more difficult for stockholders to elect directors of their choosing and to cause Zymeworks to take other corporate actions they desire, any of which, under certain circumstances, could limit the opportunity for our stockholders to receive a premium for their shares of common stock, and could also affect the price that some investors are willing to pay for our common stock.</w:t>
      </w:r>
    </w:p>
    <w:p>
      <w:pPr>
        <w:spacing w:after="0" w:line="2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stockholders’ rights plan adopted by our board of directors may discourage a third party from acquiring us in a manner that could result in a premium price to our stockholders.</w:t>
      </w:r>
    </w:p>
    <w:p>
      <w:pPr>
        <w:spacing w:after="0" w:line="51"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On October 12, 2022, we entered into the Rights Agreement pursuant to which our board of directors authorized and declared a dividend distribution of one Right for each share of our common stock outstanding on October 13, 2022 (the “Record Date”) and for each share of common stock that becomes outstanding between the Record Date and the earlier of the date the Rights become exercisable and the expiration of the Rights. Each Right entitles the registered holder to purchase from us one one-thousandth of a share of our Series B Participating Preferred Stock at an exercise price of $74.00, subject to adjustment. In general terms, the Rights Agreement works by imposing a significant penalty upon any person or group that acquires 10 percent or more (or 20 percent or more in the case of certain institutional investors who report their holdings on Schedule 13G) of the shares of our common stock without the approval of our board of directors. As a result, the overall effect of the Rights Agreement and the issuance of the Rights may be to render more difficult or discourage a merger, amalgamation, arrangement, take-over bid, tender or exchange offer or other business combination involving us that is not approved by our board of directors. However, neither the Rights Agreement nor the Rights should interfere with any merger, amalgamation, arrangement, take-over bid, tender or exchange offer or other business combination approved by the Board. The terms of the Rights Agreement are substantively similar in all material respects to the terms of the Zymeworks BC Preferred Shares Rights Agreement, which expired in connection with the completion of the Redomicile Transactions.</w:t>
      </w:r>
    </w:p>
    <w:p>
      <w:pPr>
        <w:spacing w:after="0" w:line="12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S-70</w:t>
      </w:r>
    </w:p>
    <w:p>
      <w:pPr>
        <w:sectPr>
          <w:pgSz w:w="11900" w:h="16838" w:orient="portrait"/>
          <w:cols w:equalWidth="0" w:num="1">
            <w:col w:w="11060"/>
          </w:cols>
          <w:pgMar w:left="320" w:top="455" w:right="5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a state or federal court located within the State of Delaware as the exclusive forum for substantially all disputes between Zymeworks and its stockholders, and also provide that the federal district courts are the exclusive forum for resolving any complaint asserting a cause of action arising under the Securities Act, each of which could limit our stockholders’ ability to choose the judicial forum for disputes with Zymeworks or its directors, officers, stockholders or employees.</w:t>
      </w:r>
    </w:p>
    <w:p>
      <w:pPr>
        <w:spacing w:after="0" w:line="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the sole and exclusive forum for</w:t>
      </w:r>
    </w:p>
    <w:p>
      <w:pPr>
        <w:spacing w:after="0" w:line="27" w:lineRule="exact"/>
        <w:rPr>
          <w:sz w:val="20"/>
          <w:szCs w:val="20"/>
          <w:color w:val="auto"/>
        </w:rPr>
      </w:pPr>
    </w:p>
    <w:p>
      <w:pPr>
        <w:ind w:left="120" w:hanging="4"/>
        <w:spacing w:after="0" w:line="251" w:lineRule="auto"/>
        <w:tabs>
          <w:tab w:leader="none" w:pos="37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 (2) any action asserting a claim of breach of a fiduciary duty owed by any of our directors, stockholders, officers or other employees to Zymeworks or our stockholders, (3) any action arising pursuant to any provision of the DGCL, our amended and restated certificate of incorporation or our amended and restated bylaws or (4) 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This provision does not apply to any action brought to enforce a duty or liability created by the Exchange Act and the rules and regulations thereunder.</w:t>
      </w:r>
    </w:p>
    <w:p>
      <w:pPr>
        <w:spacing w:after="0" w:line="193"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amended and restated bylaws provides that, unless we consent in writing to the selection of an alternative forum, the federal district courts of the United States will be the sole and exclusive forum for resolving any complaint asserting a cause of action arising under the Securities Act.</w:t>
      </w:r>
    </w:p>
    <w:p>
      <w:pPr>
        <w:spacing w:after="0" w:line="18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its compliance with the federal securities laws and the rules and regulations thereunder as a result of our exclusive forum provisions.</w:t>
      </w:r>
    </w:p>
    <w:p>
      <w:pPr>
        <w:spacing w:after="0" w:line="18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enforceability of similar exclusive forum provisions in other companies’ organizational documents have been challenged in legal proceedings, and, while certain courts have determined these provisions are enforceable, it is possible that a court of law could rule that these types of provisions are inapplicable or unenforceable if they are challenged in a proceeding or otherwise. If a court were to find either exclusive forum provision contained in our amended and restated bylaws to be inapplicable or unenforceable in an action, we may incur significant additional costs associated with resolving such action in other jurisdictions, which could harm our financial condition and results of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120"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67"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Under the Sarbanes-Oxley Act of 2002, we are required to establish and maintain effective internal control over financial reporting and adequate disclosure controls and procedures. Effective internal control over financial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S-71</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reporting is necessary for us to provide reliable financial reports and, together with adequate disclosure controls and procedures, are designed to prevent fraud. Even if our management concludes that our internal control over financial reporting is effective, our independent registered public accounting firm may conclude that there are material weaknesses or significant deficiencies with respect to our internal controls or the level at which our internal controls are documented, designed, implemented or reviewed. Undetected material weaknesses in our internal controls could lead to financial statement restatements and require us to incur the expense of remediation. Inferior internal controls could also cause investors to lose confidence in our reported financial information, which could have a negative effect on the trading price of our common stock. We are in the process of moving to a new enterprise resource planning system, which we believe will lead to improvements in our internal control over financial reporting. Implementing a new enterprise resource planning system is a significant undertaking and if the switch is delayed or complicated, our internal control over financial reporting could be temporarily compromised. Furthermore, if we cannot provide reliable financial reports or prevent fraud, including as a result of remote working by our employees in connection with COVID-19 and related public health safety measures, our business and results of operations would likely be materially and adversely affected.</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at risk of securities class action litigation.</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Securities class action litigation has often been brought against companies following a decline in the market price of their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harm our business.</w:t>
      </w:r>
    </w:p>
    <w:p>
      <w:pPr>
        <w:spacing w:after="0" w:line="280"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trading market for our common stock will depend on the research and reports that securities or industry analysts publish about us or our business. We do not have any control over these analysts. We cannot assure that analysts will cover us or provide accurate or favorable coverage. If one or more of the analysts who cover us downgrade our stock or change their opinion of our common stock negatively, our stock price would likely decline. If one or more of these analysts cease coverage of our company or fail to regularly publish reports on us, we could lose visibility in the financial markets, which could cause our stock price or trading volume to decline. Moreover, the research and reports that analysts publish may suggest a price for our common stock that does not fully or accurately reflect the true value of our company. Furthermore, even if such analyst publications are favorable, these reports could have negative consequences for us.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amount of net proceeds from this offering will depend upon the number of shares of our common stock sold and the market prices at which they are sold. There can be no assurance that we will be able to sell any shares of our common stock under or fully utilize the Sales Agreement as a source of financing.</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the sale of shares of our common stock pursuant to this offering, if any, together with our existing cash and cash equivalents, (i) to continue research and development relating to ZW49 and our other preclinical and discovery-stage programs and (ii) for general corporate purposes. We have negative operating cash flow and it is expected that the proceeds from the offering will be used to fund operating cash flow. We expect our current cash, cash equivalents and short-term investments, combined with certain anticipated milestone and upfront payments from our existing collaboration agreements, including our agreement with Jazz, and the anticipated net proceeds from this offering, to fund our planned operations through 2026. These estimates include certain future milestone payments which are dependent upon the successful completion of specified research and development activities by Zymeworks and our collaborators and therefore are uncertain at this time.</w:t>
      </w:r>
    </w:p>
    <w:p>
      <w:pPr>
        <w:spacing w:after="0" w:line="18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key business objectives we intend to meet with the net proceeds are to continue research and development relating to ZW49 and our other preclinical and discovery-stage programs. These objectives will require additional capital exceeding our cash on hand resources even after giving effect to the offering. In addition, actual costs and development time may exceed management’s current expectations. It is unlikely that we will generate sufficient operating cash flow to meet the total capital obligations in the proposed development time frame. Accordingly, we will need to raise additional capital in the future over and above the current offering.</w:t>
      </w:r>
    </w:p>
    <w:p>
      <w:pPr>
        <w:spacing w:after="0" w:line="183"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if any, from this offering, and the amounts and timing of our actual expenditures will depend on numerous factors, including those listed under the section titled “Risk Factors” in this prospectus supplement and the accompanying base shelf prospectus and the documents incorporated by reference herein and therein. We therefore cannot estimate with certainty the amount of net proceeds to be used for the purposes described above. While we intend to spend the net proceeds of the offering as stated above, there may be circumstances where, for sound business reasons, a re-allocation of funds may be necessary or advisable.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S-73</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If you invest in shares of our common stock, your interest will be diluted to the extent of the difference between the price per share you pay in this offering and the net tangible book value per share of our common stock immediately after you purchase shares in this offering. As of September 30, 2022, our net tangible book value was $139.8 million, or $2.27 per share, based on 61,694,387 common shares outstanding as of September 30, 2022. Our net tangible book value per share represents the amount of our total tangible assets reduced by the amount of our total liabilities, divided by the total number of our common shares outstanding as of September 30, 2022.</w:t>
      </w:r>
    </w:p>
    <w:p>
      <w:pPr>
        <w:spacing w:after="0" w:line="18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our common stock in the aggregate amount of $150,000,000 at an assumed offering price of $7.63 per common stock, which is the last reported sale price of our common stock on the NYSE on November 8, 2022, and after deducting estimated offering expenses and commissions payable by us, our net tangible book value as of September 30, 2022 would have been $285.6 million, or $3.51 per share. This represents an immediate increase in net tangible book value of $1.24 per share to our existing stockholders and an immediate dilution in net tangible book value of $4.12 per share to new investors in this offering.</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9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illustrates this calculation on a per common share basis:</w:t>
            </w: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9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public offering price per share</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at September 30, 2022</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2.27</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the offering</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1.24</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the offering</w:t>
            </w:r>
          </w:p>
        </w:tc>
        <w:tc>
          <w:tcPr>
            <w:tcW w:w="7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440" w:type="dxa"/>
            <w:vAlign w:val="bottom"/>
            <w:gridSpan w:val="2"/>
            <w:vMerge w:val="continue"/>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3.51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in net tangible book value per share to new investors in this offering</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number of common shares shown as outstanding in the table above is based on 61,694,387 common shares outstanding as of September 30, 2022 and excludes:</w:t>
      </w:r>
    </w:p>
    <w:p>
      <w:pPr>
        <w:spacing w:after="0" w:line="67" w:lineRule="exact"/>
        <w:rPr>
          <w:sz w:val="20"/>
          <w:szCs w:val="20"/>
          <w:color w:val="auto"/>
        </w:rPr>
      </w:pPr>
    </w:p>
    <w:p>
      <w:pPr>
        <w:ind w:left="1080" w:right="8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1,384,201 common shares issuable upon the exercise of fully-vested outstanding options to issue common shares, at a weighted average exercise price of C$20.13 per common share and 2,351,411 common shares issuable upon the exercise of fully-vested outstanding options to issue common shares, at a weighted average exercise price of $20.54 per common share, in each case as of September 30, 2022;</w:t>
      </w:r>
    </w:p>
    <w:p>
      <w:pPr>
        <w:spacing w:after="0" w:line="81"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833,968 common shares issuable upon the exercise of unvested outstanding options to issue common shares, at a weighted average exercise price of C$18.03 per common share and 2,491,599 common shares issuable upon the exercise of unvested outstanding options to issue common shares, at a weighted average exercise price of $16.03 per common share, in each case as of September 30, 2022;</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 common shares issuable upon the exercise of unvested outstanding options to issue common shares, as of September 30, 2022, at a weighted average exercise price of $12.36 per common share;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182,533 common shares issuable upon vesting of outstanding restricted stock units outstanding as of September 30, 2022;</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3,275,576 common shares reserved for future issuance under our stock option plan and 1,722,239 common shares reserved for future issuance under our employee stock purchase plan, in each case as of September 30, 2022;</w:t>
      </w:r>
    </w:p>
    <w:p>
      <w:pPr>
        <w:spacing w:after="0" w:line="67" w:lineRule="exact"/>
        <w:rPr>
          <w:rFonts w:ascii="Times New Roman" w:cs="Times New Roman" w:eastAsia="Times New Roman" w:hAnsi="Times New Roman"/>
          <w:sz w:val="18"/>
          <w:szCs w:val="18"/>
          <w:color w:val="auto"/>
        </w:rPr>
      </w:pPr>
    </w:p>
    <w:p>
      <w:pPr>
        <w:ind w:left="1080" w:right="10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common shares reserved for future issuance under our Inducement Stock Option and Equity Compensation Plan as of September 30,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1,424,533 common shares issuable upon the exchange of the Exchangeable Shares as of October 13, 2022;</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4,794,224 pre-funded warrants to purchase up to 4,794,224 common shares as of September 30, 2022; and</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S-74</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1,375,000 shares of common stock issued upon the exercise of 1,375,000 of such pre-funded warrants on October 25, 2022 and 1,340,000 shares of common stock issued upon the exercise of a further 1,340,000 of such pre-funded warrants on October 27, 2022.</w:t>
      </w:r>
    </w:p>
    <w:p>
      <w:pPr>
        <w:spacing w:after="0" w:line="162"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are exercised or other shares are issued, investors purchasing shares of our common stock in this offering may experience further dilution. In addition, we may choose to issue additional shares of our common stock, or securities convertible into or exchangeable for shares of our common stock, in the future. The issuance of these securities could result in further dilution for investors purchasing shares of our common stock in this offering.</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S-75</w:t>
      </w:r>
    </w:p>
    <w:p>
      <w:pPr>
        <w:sectPr>
          <w:pgSz w:w="11900" w:h="16838" w:orient="portrait"/>
          <w:cols w:equalWidth="0" w:num="1">
            <w:col w:w="11020"/>
          </w:cols>
          <w:pgMar w:left="320" w:top="455" w:right="5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left="120" w:right="140"/>
        <w:spacing w:after="0" w:line="261" w:lineRule="auto"/>
        <w:rPr>
          <w:sz w:val="20"/>
          <w:szCs w:val="20"/>
          <w:color w:val="auto"/>
        </w:rPr>
      </w:pPr>
      <w:r>
        <w:rPr>
          <w:rFonts w:ascii="Times New Roman" w:cs="Times New Roman" w:eastAsia="Times New Roman" w:hAnsi="Times New Roman"/>
          <w:sz w:val="18"/>
          <w:szCs w:val="18"/>
          <w:color w:val="auto"/>
        </w:rPr>
        <w:t>We have entered into a sales agreement, or the Sales Agreement, with Cantor Fitzgerald &amp; Co., or Cantor. Pursuant to this prospectus supplement, we may offer and sell shares of our common stock having an aggregate gross sales price of up to $150,000,000 from time to time through Cantor acting as sales agent. A copy of the Sales Agreement will be filed as an exhibit to a Current Report on Form 8-K and will be incorporated by reference into this prospectus supplement.</w:t>
      </w:r>
    </w:p>
    <w:p>
      <w:pPr>
        <w:spacing w:after="0" w:line="180"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Upon delivery of a placement notice and subject to the terms and conditions of the Sales Agreement, Cantor may sell shares of our common stock by any method permitted by law deemed to be an “at the market offering” as defined in Rule 415(a)(4) promulgated under the Securities Act. We may instruct the Cantor not to sell common stock if the sales cannot be effected at or above the price designated by us from time to time. We or Cantor may suspend the offering of common stock upon notice and subject to other conditions.</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will pay Cantor commissions, in cash, for its service in acting as agent in the sale of our common stock. Cantor will be entitled to compensation at a commission rate of up to 3.0% of the sales price per share sold under the Sales Agreement. Because there is no minimum offering amount required as a condition to close this offering, the actual total public offering amount, commissions and proceeds to us, if any, are not determinable at this time. We have also agreed to reimburse Cantor for certain specified expenses, including the fees and disbursements of their legal counsel in an amount not to exceed $75,000 and certain ongoing expenses. We estimate that the total expenses for the offering, excluding compensation and reimbursements payable to Cantor under the terms of the Sales Agreement, will be approximately $250,000.</w:t>
      </w:r>
    </w:p>
    <w:p>
      <w:pPr>
        <w:spacing w:after="0" w:line="187"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8"/>
          <w:szCs w:val="18"/>
          <w:color w:val="auto"/>
        </w:rPr>
        <w:t>Settlement for sales of shares of our common stock will occur on the second business day following the date on which any sales are made, or on some other date that is agreed upon by us and Cantor in connection with a particular transaction, in return for payment of the net proceeds to us. Sales of our common stock as contemplated in this prospectus supplement will be settled through the facilities of The Depository Trust Company or by such other means as we and Cantor may agree upon. There is no arrangement for funds to be received in an escrow, trust or similar arrangement.</w:t>
      </w:r>
    </w:p>
    <w:p>
      <w:pPr>
        <w:spacing w:after="0" w:line="180"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Cantor will use its commercially reasonable efforts, consistent with its sales and trading practices, to solicit offers to purchase the common stock under the terms and subject to the conditions set forth in the Sales Agreement. In connection with the sale of the common stock on our behalf, Cantor will be deemed to be an “underwriter” within the meaning of the Securities Act and the compensation of Cantor will be deemed to be underwriting commissions or discounts. We have agreed to provide indemnification and contribution to Cantor against certain civil liabilities, including liabilities under the Securities Act.</w:t>
      </w:r>
    </w:p>
    <w:p>
      <w:pPr>
        <w:spacing w:after="0" w:line="183"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The offering of shares of our common stock pursuant to the Sales Agreement will terminate upon the termination of the Sales Agreement as permitted therein. We and Cantor may each terminate the Sales Agreement at any time upon ten days’ prior notice.</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Cantor and its affiliates may in the future provide various investment banking, commercial banking and other financial services for us and our affiliates, for which services they may in the future receive customary fees. To the extent required by Regulation M, Cantor will not engage in any market making activities involving our common stock while the offering is ongoing under this prospectus supplement.</w:t>
      </w:r>
    </w:p>
    <w:p>
      <w:pPr>
        <w:spacing w:after="0" w:line="17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be made available in electronic format on a website maintained by Cantor and Cantor may distribute this prospectus supplement and the accompanying prospectus electronically.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S-76</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Certain legal matters in connection with the securities offered hereby will be passed upon on behalf of the Company by Wilson Sonsini Goodrich &amp; Rosati, Professional Corporation, Palo Alto, California. Cantor Fitzgerald &amp; Co.is being represented in connection with this offering by Cooley LLP, New York, New York.</w:t>
      </w:r>
    </w:p>
    <w:p>
      <w:pPr>
        <w:spacing w:after="0" w:line="3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Zymeworks as of December 31, 2021 and 2020, and for each of the years in the three-year period ended December 31, 2021, and management’s assessment of the effectiveness of internal control over financial reporting as of December 31, 2021 have been incorporated by reference herein in reliance upon the reports of KPMG LLP, independent registered public accounting firm, incorporated by reference herein, and upon the authority of said firm as experts in accounting and auditing.</w:t>
      </w:r>
    </w:p>
    <w:p>
      <w:pPr>
        <w:spacing w:after="0" w:line="11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S-77</w:t>
      </w:r>
    </w:p>
    <w:p>
      <w:pPr>
        <w:sectPr>
          <w:pgSz w:w="11900" w:h="16838" w:orient="portrait"/>
          <w:cols w:equalWidth="0" w:num="1">
            <w:col w:w="10960"/>
          </w:cols>
          <w:pgMar w:left="320" w:top="455" w:right="6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0"/>
        <w:spacing w:after="0" w:line="266" w:lineRule="auto"/>
        <w:rPr>
          <w:sz w:val="20"/>
          <w:szCs w:val="20"/>
          <w:color w:val="auto"/>
        </w:rPr>
      </w:pPr>
      <w:r>
        <w:rPr>
          <w:rFonts w:ascii="Times New Roman" w:cs="Times New Roman" w:eastAsia="Times New Roman" w:hAnsi="Times New Roman"/>
          <w:sz w:val="18"/>
          <w:szCs w:val="18"/>
          <w:color w:val="auto"/>
        </w:rPr>
        <w:t>This prospectus supplement and accompanying base shelf prospectus are part of the registration statement on Form S-3 (File No. 333-259970) that Zymeworks BC filed with the SEC under the Securities Act. In connection with the Redomicile Transactions completed on October 13, 2022, we assumed the registration statement on Form S-3 as the successor registrant to Zymeworks BC pursuant to Rule 414.</w:t>
      </w:r>
    </w:p>
    <w:p>
      <w:pPr>
        <w:spacing w:after="0" w:line="176"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This prospectus supplement and accompanying base shelf prospectus do not contain all of the information set forth in the registration statement. Whenever a reference is made in this prospectus supplement or accompanying base shelf prospectus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and the accompanying base shelf prospectus for a copy of such contract, agreement or other document.</w:t>
      </w:r>
    </w:p>
    <w:p>
      <w:pPr>
        <w:spacing w:after="0" w:line="183" w:lineRule="exact"/>
        <w:rPr>
          <w:sz w:val="20"/>
          <w:szCs w:val="20"/>
          <w:color w:val="auto"/>
        </w:rPr>
      </w:pPr>
    </w:p>
    <w:p>
      <w:pPr>
        <w:ind w:left="120"/>
        <w:spacing w:after="0" w:line="276" w:lineRule="auto"/>
        <w:rPr>
          <w:sz w:val="20"/>
          <w:szCs w:val="20"/>
          <w:color w:val="auto"/>
        </w:rPr>
      </w:pPr>
      <w:r>
        <w:rPr>
          <w:rFonts w:ascii="Times New Roman" w:cs="Times New Roman" w:eastAsia="Times New Roman" w:hAnsi="Times New Roman"/>
          <w:sz w:val="17"/>
          <w:szCs w:val="17"/>
          <w:color w:val="auto"/>
        </w:rPr>
        <w:t xml:space="preserve">We file annual, quarterly and current reports, proxy statements and other information with the SEC. Our SEC filings are available to you, free of charge, on the SEC’s website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xml:space="preserve">. You may also obtain additional information by visiting our website at </w:t>
      </w:r>
      <w:r>
        <w:rPr>
          <w:rFonts w:ascii="Times New Roman" w:cs="Times New Roman" w:eastAsia="Times New Roman" w:hAnsi="Times New Roman"/>
          <w:sz w:val="17"/>
          <w:szCs w:val="17"/>
          <w:i w:val="1"/>
          <w:iCs w:val="1"/>
          <w:color w:val="auto"/>
        </w:rPr>
        <w:t>www.zymeworks.com.</w:t>
      </w:r>
      <w:r>
        <w:rPr>
          <w:rFonts w:ascii="Times New Roman" w:cs="Times New Roman" w:eastAsia="Times New Roman" w:hAnsi="Times New Roman"/>
          <w:sz w:val="17"/>
          <w:szCs w:val="17"/>
          <w:color w:val="auto"/>
        </w:rPr>
        <w:t xml:space="preserve"> The references</w:t>
      </w:r>
    </w:p>
    <w:p>
      <w:pPr>
        <w:spacing w:after="0" w:line="1"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 xml:space="preserve">to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xml:space="preserve"> in this prospectus supplement, the accompanying base shelf prospectus and the documents incorporated by reference herein or therein are inactive textual references only, and the information found on our internet website is not incorporated by reference into, and should not be considered part of, this prospectus supplement, the accompanying base shelf prospectus or the documents incorporated by reference herein or therein. Investors should not rely on any such information in deciding whether to invest in our common stock.</w:t>
      </w:r>
    </w:p>
    <w:p>
      <w:pPr>
        <w:spacing w:after="0" w:line="1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S-78</w:t>
      </w:r>
    </w:p>
    <w:p>
      <w:pPr>
        <w:sectPr>
          <w:pgSz w:w="11900" w:h="16838" w:orient="portrait"/>
          <w:cols w:equalWidth="0" w:num="1">
            <w:col w:w="11080"/>
          </w:cols>
          <w:pgMar w:left="320" w:top="455"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supplement which has been previously filed with the SEC, which means that we can disclose important information to you by referring you to another document filed separately with the SEC. The information incorporated by reference is deemed to be part of this prospectus supplement, except for any information superseded by information included or subsequently incorporated by reference in this prospectus supplement. Either we or Zymeworks BC have filed the documents listed below with the SEC under the Securities Exchange Act of 1934, as amended, or the Exchange Act, and these documents are incorporated herein by reference (other than those documents or the portions of those documents furnished pursuant to Items 2.02 or 7.01 of any Current Report on Form 8-K and, except as may be noted in any such Form 8-K, exhibits filed on such form that are related to such information):</w:t>
      </w:r>
    </w:p>
    <w:p>
      <w:pPr>
        <w:spacing w:after="0" w:line="94"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Zymeworks BC’s </w:t>
      </w:r>
      <w:hyperlink r:id="rId102">
        <w:r>
          <w:rPr>
            <w:rFonts w:ascii="Times New Roman" w:cs="Times New Roman" w:eastAsia="Times New Roman" w:hAnsi="Times New Roman"/>
            <w:sz w:val="18"/>
            <w:szCs w:val="18"/>
            <w:u w:val="single" w:color="auto"/>
            <w:color w:val="0000EE"/>
          </w:rPr>
          <w:t>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February 24, 2022;</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Zymeworks BC’s </w:t>
      </w:r>
      <w:hyperlink r:id="rId103">
        <w:r>
          <w:rPr>
            <w:rFonts w:ascii="Times New Roman" w:cs="Times New Roman" w:eastAsia="Times New Roman" w:hAnsi="Times New Roman"/>
            <w:sz w:val="18"/>
            <w:szCs w:val="18"/>
            <w:u w:val="single" w:color="auto"/>
            <w:color w:val="0000EE"/>
          </w:rPr>
          <w:t>Amendment No. 1 to Annual Report on 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2021, filed with the SEC on May 2, 2022;</w:t>
      </w:r>
    </w:p>
    <w:p>
      <w:pPr>
        <w:spacing w:after="0" w:line="67"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Zymeworks BC’s Quarterly Reports on Form 10-Q for the quarterly periods ended March 31, 2022 and June 30, 2022, filed with the SEC on </w:t>
      </w:r>
      <w:hyperlink r:id="rId104">
        <w:r>
          <w:rPr>
            <w:rFonts w:ascii="Times New Roman" w:cs="Times New Roman" w:eastAsia="Times New Roman" w:hAnsi="Times New Roman"/>
            <w:sz w:val="18"/>
            <w:szCs w:val="18"/>
            <w:u w:val="single" w:color="auto"/>
            <w:color w:val="0000EE"/>
          </w:rPr>
          <w:t>May 4,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5">
        <w:r>
          <w:rPr>
            <w:rFonts w:ascii="Times New Roman" w:cs="Times New Roman" w:eastAsia="Times New Roman" w:hAnsi="Times New Roman"/>
            <w:sz w:val="18"/>
            <w:szCs w:val="18"/>
            <w:u w:val="single" w:color="auto"/>
            <w:color w:val="0000EE"/>
          </w:rPr>
          <w:t>August 4, 2022</w:t>
        </w:r>
      </w:hyperlink>
      <w:r>
        <w:rPr>
          <w:rFonts w:ascii="Times New Roman" w:cs="Times New Roman" w:eastAsia="Times New Roman" w:hAnsi="Times New Roman"/>
          <w:sz w:val="18"/>
          <w:szCs w:val="18"/>
          <w:color w:val="auto"/>
        </w:rPr>
        <w:t>, respectively;</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0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September 30, 2022, filed with the SEC on November 8, 2022;</w:t>
      </w:r>
    </w:p>
    <w:p>
      <w:pPr>
        <w:spacing w:after="0" w:line="130"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48"/>
        </w:numPr>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auto"/>
          </w:rPr>
          <w:t xml:space="preserve">Zymeworks BC’s Current Reports on Form 8-K filed with the SEC on </w:t>
        </w:r>
        <w:r>
          <w:rPr>
            <w:rFonts w:ascii="Times New Roman" w:cs="Times New Roman" w:eastAsia="Times New Roman" w:hAnsi="Times New Roman"/>
            <w:sz w:val="18"/>
            <w:szCs w:val="18"/>
            <w:u w:val="single" w:color="auto"/>
            <w:color w:val="0000EE"/>
          </w:rPr>
          <w:t>January 5,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19,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27,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31,</w:t>
        </w:r>
      </w:hyperlink>
      <w:r>
        <w:rPr>
          <w:rFonts w:ascii="Times New Roman" w:cs="Times New Roman" w:eastAsia="Times New Roman" w:hAnsi="Times New Roman"/>
          <w:sz w:val="18"/>
          <w:szCs w:val="18"/>
          <w:color w:val="auto"/>
        </w:rPr>
        <w:t xml:space="preserve"> </w:t>
      </w:r>
      <w:hyperlink r:id="rId107">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8">
        <w:r>
          <w:rPr>
            <w:rFonts w:ascii="Times New Roman" w:cs="Times New Roman" w:eastAsia="Times New Roman" w:hAnsi="Times New Roman"/>
            <w:sz w:val="18"/>
            <w:szCs w:val="18"/>
            <w:u w:val="single" w:color="auto"/>
            <w:color w:val="0000EE"/>
          </w:rPr>
          <w:t>February 25, 2022</w:t>
        </w:r>
      </w:hyperlink>
      <w:hyperlink r:id="rId10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09">
        <w:r>
          <w:rPr>
            <w:rFonts w:ascii="Times New Roman" w:cs="Times New Roman" w:eastAsia="Times New Roman" w:hAnsi="Times New Roman"/>
            <w:sz w:val="18"/>
            <w:szCs w:val="18"/>
            <w:u w:val="single" w:color="auto"/>
            <w:color w:val="0000EE"/>
          </w:rPr>
          <w:t>March 9, 2022</w:t>
        </w:r>
      </w:hyperlink>
      <w:hyperlink r:id="rId107">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0">
        <w:r>
          <w:rPr>
            <w:rFonts w:ascii="Times New Roman" w:cs="Times New Roman" w:eastAsia="Times New Roman" w:hAnsi="Times New Roman"/>
            <w:sz w:val="18"/>
            <w:szCs w:val="18"/>
            <w:u w:val="single" w:color="auto"/>
            <w:color w:val="0000EE"/>
          </w:rPr>
          <w:t xml:space="preserve">May 2, 2022 </w:t>
        </w:r>
      </w:hyperlink>
      <w:hyperlink r:id="rId107">
        <w:r>
          <w:rPr>
            <w:rFonts w:ascii="Times New Roman" w:cs="Times New Roman" w:eastAsia="Times New Roman" w:hAnsi="Times New Roman"/>
            <w:sz w:val="18"/>
            <w:szCs w:val="18"/>
            <w:color w:val="000000"/>
          </w:rPr>
          <w:t>(Amendment No. 1 to Form 8-K originally filed with the SEC on January 19,</w:t>
        </w:r>
      </w:hyperlink>
      <w:r>
        <w:rPr>
          <w:rFonts w:ascii="Times New Roman" w:cs="Times New Roman" w:eastAsia="Times New Roman" w:hAnsi="Times New Roman"/>
          <w:sz w:val="18"/>
          <w:szCs w:val="18"/>
          <w:color w:val="0000EE"/>
        </w:rPr>
        <w:t xml:space="preserve"> </w:t>
      </w:r>
      <w:hyperlink r:id="rId111">
        <w:r>
          <w:rPr>
            <w:rFonts w:ascii="Times New Roman" w:cs="Times New Roman" w:eastAsia="Times New Roman" w:hAnsi="Times New Roman"/>
            <w:sz w:val="18"/>
            <w:szCs w:val="18"/>
            <w:color w:val="000000"/>
          </w:rPr>
          <w:t xml:space="preserve">2022); </w:t>
        </w:r>
        <w:r>
          <w:rPr>
            <w:rFonts w:ascii="Times New Roman" w:cs="Times New Roman" w:eastAsia="Times New Roman" w:hAnsi="Times New Roman"/>
            <w:sz w:val="18"/>
            <w:szCs w:val="18"/>
            <w:u w:val="single" w:color="auto"/>
            <w:color w:val="0000EE"/>
          </w:rPr>
          <w:t>May 26, 2022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June 10, 2022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July 15, 2022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 5, 2022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 12, 2022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 19, 2022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August 26, 2022</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EE"/>
          </w:rPr>
          <w:t>September</w:t>
        </w:r>
      </w:hyperlink>
      <w:r>
        <w:rPr>
          <w:rFonts w:ascii="Times New Roman" w:cs="Times New Roman" w:eastAsia="Times New Roman" w:hAnsi="Times New Roman"/>
          <w:sz w:val="18"/>
          <w:szCs w:val="18"/>
          <w:color w:val="000000"/>
        </w:rPr>
        <w:t xml:space="preserve"> </w:t>
      </w:r>
      <w:hyperlink r:id="rId111">
        <w:r>
          <w:rPr>
            <w:rFonts w:ascii="Times New Roman" w:cs="Times New Roman" w:eastAsia="Times New Roman" w:hAnsi="Times New Roman"/>
            <w:sz w:val="18"/>
            <w:szCs w:val="18"/>
            <w:u w:val="single" w:color="auto"/>
            <w:color w:val="0000EE"/>
          </w:rPr>
          <w:t>2, 2022</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2">
        <w:r>
          <w:rPr>
            <w:rFonts w:ascii="Times New Roman" w:cs="Times New Roman" w:eastAsia="Times New Roman" w:hAnsi="Times New Roman"/>
            <w:sz w:val="18"/>
            <w:szCs w:val="18"/>
            <w:u w:val="single" w:color="auto"/>
            <w:color w:val="0000EE"/>
          </w:rPr>
          <w:t>September 8, 2022</w:t>
        </w:r>
      </w:hyperlink>
      <w:hyperlink r:id="rId1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3">
        <w:r>
          <w:rPr>
            <w:rFonts w:ascii="Times New Roman" w:cs="Times New Roman" w:eastAsia="Times New Roman" w:hAnsi="Times New Roman"/>
            <w:sz w:val="18"/>
            <w:szCs w:val="18"/>
            <w:u w:val="single" w:color="auto"/>
            <w:color w:val="0000EE"/>
          </w:rPr>
          <w:t>September 22, 2022</w:t>
        </w:r>
      </w:hyperlink>
      <w:hyperlink r:id="rId1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4">
        <w:r>
          <w:rPr>
            <w:rFonts w:ascii="Times New Roman" w:cs="Times New Roman" w:eastAsia="Times New Roman" w:hAnsi="Times New Roman"/>
            <w:sz w:val="18"/>
            <w:szCs w:val="18"/>
            <w:u w:val="single" w:color="auto"/>
            <w:color w:val="0000EE"/>
          </w:rPr>
          <w:t>October 11 2022</w:t>
        </w:r>
      </w:hyperlink>
      <w:hyperlink r:id="rId1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5">
        <w:r>
          <w:rPr>
            <w:rFonts w:ascii="Times New Roman" w:cs="Times New Roman" w:eastAsia="Times New Roman" w:hAnsi="Times New Roman"/>
            <w:sz w:val="18"/>
            <w:szCs w:val="18"/>
            <w:u w:val="single" w:color="auto"/>
            <w:color w:val="0000EE"/>
          </w:rPr>
          <w:t>October 12, 2022</w:t>
        </w:r>
      </w:hyperlink>
      <w:hyperlink r:id="rId1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6">
        <w:r>
          <w:rPr>
            <w:rFonts w:ascii="Times New Roman" w:cs="Times New Roman" w:eastAsia="Times New Roman" w:hAnsi="Times New Roman"/>
            <w:sz w:val="18"/>
            <w:szCs w:val="18"/>
            <w:u w:val="single" w:color="auto"/>
            <w:color w:val="0000EE"/>
          </w:rPr>
          <w:t>October 18, 2022</w:t>
        </w:r>
      </w:hyperlink>
      <w:hyperlink r:id="rId11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17">
        <w:r>
          <w:rPr>
            <w:rFonts w:ascii="Times New Roman" w:cs="Times New Roman" w:eastAsia="Times New Roman" w:hAnsi="Times New Roman"/>
            <w:sz w:val="18"/>
            <w:szCs w:val="18"/>
            <w:u w:val="single" w:color="auto"/>
            <w:color w:val="0000EE"/>
          </w:rPr>
          <w:t xml:space="preserve">October 19, 2022 </w:t>
        </w:r>
      </w:hyperlink>
      <w:hyperlink r:id="rId111">
        <w:r>
          <w:rPr>
            <w:rFonts w:ascii="Times New Roman" w:cs="Times New Roman" w:eastAsia="Times New Roman" w:hAnsi="Times New Roman"/>
            <w:sz w:val="18"/>
            <w:szCs w:val="18"/>
            <w:color w:val="000000"/>
          </w:rPr>
          <w:t>and</w:t>
        </w:r>
      </w:hyperlink>
      <w:r>
        <w:rPr>
          <w:rFonts w:ascii="Times New Roman" w:cs="Times New Roman" w:eastAsia="Times New Roman" w:hAnsi="Times New Roman"/>
          <w:sz w:val="18"/>
          <w:szCs w:val="18"/>
          <w:color w:val="0000EE"/>
        </w:rPr>
        <w:t xml:space="preserve"> </w:t>
      </w:r>
      <w:hyperlink r:id="rId118">
        <w:r>
          <w:rPr>
            <w:rFonts w:ascii="Times New Roman" w:cs="Times New Roman" w:eastAsia="Times New Roman" w:hAnsi="Times New Roman"/>
            <w:sz w:val="18"/>
            <w:szCs w:val="18"/>
            <w:u w:val="single" w:color="auto"/>
            <w:color w:val="0000EE"/>
          </w:rPr>
          <w:t>October 21, 2022</w:t>
        </w:r>
      </w:hyperlink>
      <w:r>
        <w:rPr>
          <w:rFonts w:ascii="Times New Roman" w:cs="Times New Roman" w:eastAsia="Times New Roman" w:hAnsi="Times New Roman"/>
          <w:sz w:val="18"/>
          <w:szCs w:val="18"/>
          <w:color w:val="000000"/>
        </w:rPr>
        <w:t>;</w:t>
      </w:r>
    </w:p>
    <w:p>
      <w:pPr>
        <w:spacing w:after="0" w:line="88" w:lineRule="exact"/>
        <w:rPr>
          <w:rFonts w:ascii="Times New Roman" w:cs="Times New Roman" w:eastAsia="Times New Roman" w:hAnsi="Times New Roman"/>
          <w:sz w:val="18"/>
          <w:szCs w:val="18"/>
          <w:color w:val="0000EE"/>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19">
        <w:r>
          <w:rPr>
            <w:rFonts w:ascii="Times New Roman" w:cs="Times New Roman" w:eastAsia="Times New Roman" w:hAnsi="Times New Roman"/>
            <w:sz w:val="18"/>
            <w:szCs w:val="18"/>
            <w:u w:val="single" w:color="auto"/>
            <w:color w:val="0000EE"/>
          </w:rPr>
          <w:t>October 13, 2022</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October 19, 2022</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EE"/>
          </w:rPr>
          <w:t>October 21, 2022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21">
        <w:r>
          <w:rPr>
            <w:rFonts w:ascii="Times New Roman" w:cs="Times New Roman" w:eastAsia="Times New Roman" w:hAnsi="Times New Roman"/>
            <w:sz w:val="18"/>
            <w:szCs w:val="18"/>
            <w:u w:val="single" w:color="auto"/>
            <w:color w:val="0000EE"/>
          </w:rPr>
          <w:t>October 28, 2022</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Form 8-K12B, including the description of our common stock set forth therein, filed with the SEC on </w:t>
      </w:r>
      <w:hyperlink r:id="rId119">
        <w:r>
          <w:rPr>
            <w:rFonts w:ascii="Times New Roman" w:cs="Times New Roman" w:eastAsia="Times New Roman" w:hAnsi="Times New Roman"/>
            <w:sz w:val="18"/>
            <w:szCs w:val="18"/>
            <w:u w:val="single" w:color="auto"/>
            <w:color w:val="0000EE"/>
          </w:rPr>
          <w:t>October 13, 2022</w:t>
        </w:r>
      </w:hyperlink>
      <w:r>
        <w:rPr>
          <w:rFonts w:ascii="Times New Roman" w:cs="Times New Roman" w:eastAsia="Times New Roman" w:hAnsi="Times New Roman"/>
          <w:sz w:val="18"/>
          <w:szCs w:val="18"/>
          <w:color w:val="auto"/>
        </w:rPr>
        <w:t>, including any amendments or reports filed for the purpose of updating such description of our common stock; and</w:t>
      </w:r>
    </w:p>
    <w:p>
      <w:pPr>
        <w:spacing w:after="0" w:line="67" w:lineRule="exact"/>
        <w:rPr>
          <w:rFonts w:ascii="Times New Roman" w:cs="Times New Roman" w:eastAsia="Times New Roman" w:hAnsi="Times New Roman"/>
          <w:sz w:val="18"/>
          <w:szCs w:val="18"/>
          <w:color w:val="auto"/>
        </w:rPr>
      </w:pPr>
    </w:p>
    <w:p>
      <w:pPr>
        <w:ind w:left="1080" w:right="62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filed by us or Zymeworks BC with the SEC under Sections 13(a), 13(c), 14 or 15(d) of the Exchange Act after December 31, 2021 but before the date of this prospectus supplement.</w:t>
      </w:r>
    </w:p>
    <w:p>
      <w:pPr>
        <w:spacing w:after="0" w:line="162" w:lineRule="exact"/>
        <w:rPr>
          <w:rFonts w:ascii="Times New Roman" w:cs="Times New Roman" w:eastAsia="Times New Roman" w:hAnsi="Times New Roman"/>
          <w:sz w:val="18"/>
          <w:szCs w:val="18"/>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All documents that we file (but not those that we furnish) with the SEC pursuant to Sections 13(a), 13(c), 14 or 15(d) of the Exchange Act on or after the date of this prospectus supplement and prior to the termination of the offering of common stock hereby will be deemed to be incorporated by reference into this prospectus supplement and will automatically update and supersede the information in this prospectus supplement and any previously filed document.</w:t>
      </w:r>
    </w:p>
    <w:p>
      <w:pPr>
        <w:spacing w:after="0" w:line="180" w:lineRule="exact"/>
        <w:rPr>
          <w:rFonts w:ascii="Times New Roman" w:cs="Times New Roman" w:eastAsia="Times New Roman" w:hAnsi="Times New Roman"/>
          <w:sz w:val="18"/>
          <w:szCs w:val="18"/>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will provide to each person, including any beneficial owner, to whom a copy of this prospectus supplement is delivered, a copy of any or all of the information that has been incorporated by reference in this prospectus supplement but not delivered with this prospectus supplement (other than the exhibits to such documents which are not specifically incorporated by reference herein). We will provide this information at no cost to the requester upon written or oral request to:</w:t>
      </w:r>
    </w:p>
    <w:p>
      <w:pPr>
        <w:spacing w:after="0" w:line="18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Zymeworks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 Patriot Drive, Suite A</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Middletown, Delaware 19709</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Phone: (302) 274-8744</w:t>
      </w:r>
    </w:p>
    <w:p>
      <w:pPr>
        <w:spacing w:after="0" w:line="13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S-79</w:t>
      </w:r>
    </w:p>
    <w:p>
      <w:pPr>
        <w:sectPr>
          <w:pgSz w:w="11900" w:h="16838" w:orient="portrait"/>
          <w:cols w:equalWidth="0" w:num="1">
            <w:col w:w="11120"/>
          </w:cols>
          <w:pgMar w:left="320" w:top="455" w:right="4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71120</wp:posOffset>
            </wp:positionV>
            <wp:extent cx="2297430" cy="8489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3">
                      <a:extLst>
                        <a:ext uri="{28A0092B-C50C-407E-A947-70E740481C1C}"/>
                      </a:extLst>
                    </a:blip>
                    <a:srcRect/>
                    <a:stretch>
                      <a:fillRect/>
                    </a:stretch>
                  </pic:blipFill>
                  <pic:spPr bwMode="auto">
                    <a:xfrm>
                      <a:off x="0" y="0"/>
                      <a:ext cx="229743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Common Shares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Preferred Shares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Subscription Receipts</w:t>
      </w:r>
    </w:p>
    <w:p>
      <w:pPr>
        <w:spacing w:after="0" w:line="1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122555</wp:posOffset>
            </wp:positionV>
            <wp:extent cx="1474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6"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We may offer and issue from time to time common shares, preferred shares, debt securities in one or more series, warrants for the purchase of common shares or preferred shares or warrants for the purchase of debt securities, subscription receipts that are exchangeable for our equity securities and/or other securities or units comprised of one or more of the other securities described in this shelf prospectus in any combination, or any combination thereof, in one or more transactions under this prospectus. Securities may be offered separately or together, at times, in amounts, at prices and on terms to be determined based on market conditions at the time of sale and set forth in an accompanying prospectus supplement. From time to time, selling securityholders, who would be named in a prospectus supplement, may also offer and sell our securities at prices and on terms described in one or more prospectus supplements.</w:t>
      </w:r>
    </w:p>
    <w:p>
      <w:pPr>
        <w:spacing w:after="0" w:line="54" w:lineRule="exact"/>
        <w:rPr>
          <w:sz w:val="20"/>
          <w:szCs w:val="20"/>
          <w:color w:val="auto"/>
        </w:rPr>
      </w:pPr>
    </w:p>
    <w:p>
      <w:pPr>
        <w:ind w:left="120" w:right="30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that we may offer. Each time we offer securities, we will provide you with a prospectus supplement that describes specific information about the particular securities being offered and may add, update or change information contained or incorporated by reference in this prospectus. You should read both this prospectus and the prospectus supplement, together with the additional information which is incorporated by reference into this prospectus and the prospectus supplement.</w:t>
      </w:r>
    </w:p>
    <w:p>
      <w:pPr>
        <w:spacing w:after="0" w:line="3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or selling securityholders may offer and sell the securities described in this prospectus and any prospectus supplement to or through one or more underwriters, broker-dealers, agents, directly to purchasers, or through any other means described in this prospectus under “Plan of Distribution” and in supplements to this prospectus in connection with a particular offering of securities. If any underwriters, dealers, or agents are involved in the sale of any of these securities, their names and any applicable purchase price, fee, commission or discount arrangement between or among them will be set forth, or will be calculable from the information set forth, in the applicable prospectus supplement.</w:t>
      </w:r>
    </w:p>
    <w:p>
      <w:pPr>
        <w:spacing w:after="0" w:line="3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 xml:space="preserve">Our common shares are listed and posted for trading on the New York Stock Exchange (“NYSE”), under the symbol “ZYME.” On September 30, 2021, the last reported sale price of the common shares on the NYSE was $29.04 per common share. Unless otherwise specified in the applicable prospectus supplement, securities other than the common shares will not be listed on any securities exchange. </w:t>
      </w:r>
      <w:r>
        <w:rPr>
          <w:rFonts w:ascii="Times New Roman" w:cs="Times New Roman" w:eastAsia="Times New Roman" w:hAnsi="Times New Roman"/>
          <w:sz w:val="18"/>
          <w:szCs w:val="18"/>
          <w:b w:val="1"/>
          <w:bCs w:val="1"/>
          <w:color w:val="auto"/>
        </w:rPr>
        <w:t>There is currently no market through which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 other than the common shares, may be sold and you may not be able to resell such securities purchased under this prospectus and any applicable prospectus supplement. This may affect the pricing of such securities in the secondary market, the transparency and availability of trading prices, the liquidity of the securities, and the extent of issuer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2" w:lineRule="exact"/>
        <w:rPr>
          <w:sz w:val="20"/>
          <w:szCs w:val="20"/>
          <w:color w:val="auto"/>
        </w:rPr>
      </w:pPr>
    </w:p>
    <w:p>
      <w:pPr>
        <w:ind w:left="120" w:right="4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a high degree of risk. You should carefully read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section beginning on page 6 of this prospectus and carefully consider the discussion of risks and uncertainties under the heading “Risk Factors” contained in any applicable prospectus supplement and in the documents that are incorporated by reference.</w:t>
      </w:r>
    </w:p>
    <w:p>
      <w:pPr>
        <w:spacing w:after="0" w:line="32" w:lineRule="exact"/>
        <w:rPr>
          <w:sz w:val="20"/>
          <w:szCs w:val="20"/>
          <w:color w:val="auto"/>
        </w:rPr>
      </w:pPr>
    </w:p>
    <w:p>
      <w:pPr>
        <w:ind w:left="120" w:right="240"/>
        <w:spacing w:after="0" w:line="268" w:lineRule="auto"/>
        <w:rPr>
          <w:sz w:val="20"/>
          <w:szCs w:val="20"/>
          <w:color w:val="auto"/>
        </w:rPr>
      </w:pPr>
      <w:r>
        <w:rPr>
          <w:rFonts w:ascii="Times New Roman" w:cs="Times New Roman" w:eastAsia="Times New Roman" w:hAnsi="Times New Roman"/>
          <w:sz w:val="18"/>
          <w:szCs w:val="18"/>
          <w:b w:val="1"/>
          <w:bCs w:val="1"/>
          <w:color w:val="auto"/>
        </w:rPr>
        <w:t>These securities have not been approved or disapproved by the U.S. Securities and Exchange Commission (the “SEC”) or any state securities commission nor has the SEC or any state securities commission passed upon the accuracy or adequacy of this prospectus or any applicable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1, 2021.</w:t>
      </w:r>
    </w:p>
    <w:p>
      <w:pPr>
        <w:sectPr>
          <w:pgSz w:w="11900" w:h="16838" w:orient="portrait"/>
          <w:cols w:equalWidth="0" w:num="1">
            <w:col w:w="11140"/>
          </w:cols>
          <w:pgMar w:left="320" w:top="455" w:right="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63"/>
        </w:trPr>
        <w:tc>
          <w:tcPr>
            <w:tcW w:w="22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ABOUT THIS PROSPECTUS</w:t>
            </w:r>
          </w:p>
        </w:tc>
        <w:tc>
          <w:tcPr>
            <w:tcW w:w="8440" w:type="dxa"/>
            <w:vAlign w:val="bottom"/>
            <w:gridSpan w:val="13"/>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490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4"/>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EXCHANGE RATE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4"/>
        </w:trPr>
        <w:tc>
          <w:tcPr>
            <w:tcW w:w="19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EARNINGS COVERAGE</w:t>
            </w:r>
          </w:p>
        </w:tc>
        <w:tc>
          <w:tcPr>
            <w:tcW w:w="820" w:type="dxa"/>
            <w:vAlign w:val="bottom"/>
            <w:tcBorders>
              <w:top w:val="single" w:sz="8" w:color="0000EE"/>
            </w:tcBorders>
            <w:gridSpan w:val="7"/>
          </w:tcPr>
          <w:p>
            <w:pPr>
              <w:spacing w:after="0"/>
              <w:rPr>
                <w:sz w:val="24"/>
                <w:szCs w:val="24"/>
                <w:color w:val="auto"/>
              </w:rPr>
            </w:pPr>
          </w:p>
        </w:tc>
        <w:tc>
          <w:tcPr>
            <w:tcW w:w="79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15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910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CONSOLIDATED CAPITALIZATION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2860" w:type="dxa"/>
            <w:vAlign w:val="bottom"/>
            <w:tcBorders>
              <w:top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rPr>
              <w:t>PRIOR SALES</w:t>
            </w:r>
          </w:p>
        </w:tc>
        <w:tc>
          <w:tcPr>
            <w:tcW w:w="7820" w:type="dxa"/>
            <w:vAlign w:val="bottom"/>
            <w:gridSpan w:val="9"/>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12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22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MARKET FOR SECURITIES</w:t>
            </w:r>
          </w:p>
        </w:tc>
        <w:tc>
          <w:tcPr>
            <w:tcW w:w="84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4"/>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DESCRIPTION OF SHARE CAPITAL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30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766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82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DESCRIPTION OF SUBSCRIPTION RECEIPTS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202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1620" w:type="dxa"/>
            <w:vAlign w:val="bottom"/>
            <w:tcBorders>
              <w:top w:val="single" w:sz="8" w:color="0000EE"/>
            </w:tcBorders>
            <w:gridSpan w:val="10"/>
          </w:tcPr>
          <w:p>
            <w:pPr>
              <w:spacing w:after="0"/>
              <w:rPr>
                <w:sz w:val="24"/>
                <w:szCs w:val="24"/>
                <w:color w:val="auto"/>
              </w:rPr>
            </w:pPr>
          </w:p>
        </w:tc>
        <w:tc>
          <w:tcPr>
            <w:tcW w:w="70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25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SELLING SECURITYHOLDERS</w:t>
            </w:r>
          </w:p>
        </w:tc>
        <w:tc>
          <w:tcPr>
            <w:tcW w:w="818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14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36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CANADIAN AND U.S. FEDERAL INCOME TAX CONSIDERATIONS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3880" w:type="dxa"/>
            <w:vAlign w:val="bottom"/>
            <w:tcBorders>
              <w:top w:val="single" w:sz="8" w:color="0000EE"/>
            </w:tcBorders>
            <w:gridSpan w:val="17"/>
          </w:tcPr>
          <w:p>
            <w:pPr>
              <w:spacing w:after="0"/>
              <w:rPr>
                <w:sz w:val="24"/>
                <w:szCs w:val="24"/>
                <w:color w:val="auto"/>
              </w:rPr>
            </w:pPr>
          </w:p>
        </w:tc>
        <w:tc>
          <w:tcPr>
            <w:tcW w:w="534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AUDITORS, TRANSFER AGENT AND REGISTRAR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9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INTEREST OF EXPERTS</w:t>
            </w:r>
          </w:p>
        </w:tc>
        <w:tc>
          <w:tcPr>
            <w:tcW w:w="2100" w:type="dxa"/>
            <w:vAlign w:val="bottom"/>
            <w:tcBorders>
              <w:top w:val="single" w:sz="8" w:color="0000EE"/>
            </w:tcBorders>
            <w:gridSpan w:val="14"/>
          </w:tcPr>
          <w:p>
            <w:pPr>
              <w:spacing w:after="0"/>
              <w:rPr>
                <w:sz w:val="24"/>
                <w:szCs w:val="24"/>
                <w:color w:val="auto"/>
              </w:rPr>
            </w:pPr>
          </w:p>
        </w:tc>
        <w:tc>
          <w:tcPr>
            <w:tcW w:w="664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39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8"/>
              </w:rPr>
              <w:t>DOCUMENTS INCORPORATED BY REFERENCE</w:t>
            </w:r>
          </w:p>
        </w:tc>
        <w:tc>
          <w:tcPr>
            <w:tcW w:w="67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106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38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ENFORCEABILITY OF CIVIL LIABILITIES</w:t>
            </w:r>
          </w:p>
        </w:tc>
        <w:tc>
          <w:tcPr>
            <w:tcW w:w="688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85"/>
        </w:trPr>
        <w:tc>
          <w:tcPr>
            <w:tcW w:w="1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2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This prospectus is part of an automatic shelf registration statement on Form S-3 that we filed with the SEC as a “well-known seasoned issuer” as defined in Rule 405 of the Securities Act of 1933. Under the shelf registration process, we may from time to time, offer and sell to the public any combination of the securities described in the registration statement in one or more offerings. These securities may also be resold by selling securityholders.</w:t>
      </w:r>
    </w:p>
    <w:p>
      <w:pPr>
        <w:spacing w:after="0" w:line="15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or any applicable prospectus supplement and on the other information included in the registration statement of which this prospectus forms a part. We have not authorized anyone to provide you with different or additional information. If anyone provides you with different or additional information, you should not rely on it. We are not making an offer to sell or seeking an offer to buy the securities offered pursuant to this prospectus in any jurisdiction where the offer or sale is not permitted. You should assume that the information contained in this prospectus or any applicable prospectus supplement is accurate only as of the date on the front of those documents and that information contained in any document incorporated by reference is accurate only as of the date of that document, regardless of the time of delivery of this prospectus or any applicable prospectus supplement or of any sale of our securities pursuant thereto. Our business, financial condition, results of operations and prospects may have changed since those dates.</w:t>
      </w:r>
    </w:p>
    <w:p>
      <w:pPr>
        <w:spacing w:after="0" w:line="19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Market data and certain industry forecasts used in this prospectus or any applicable prospectus supplement and the documents incorporated by reference in this prospectus or any applicable prospectus supplement were obtained from market research, publicly available information and industry publications. We believe that these sources are generally reliable, but the accuracy and completeness of this information is not guaranteed. We have not independently verified such information, and we do not make any representation as to the accuracy of such information.</w:t>
      </w:r>
    </w:p>
    <w:p>
      <w:pPr>
        <w:spacing w:after="0" w:line="180"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 this prospectus and any prospectus supplement, unless otherwise indicated, all dollar amounts and references to “$” or “US$” are to U.S. dollars and references to “C$” are to Canadian dollars. This prospectus and the documents incorporated by reference contain translations of some Canadian dollar amounts into U.S. dollars solely for your convenience. See “Exchange Rate Information.”</w:t>
      </w:r>
    </w:p>
    <w:p>
      <w:pPr>
        <w:spacing w:after="0" w:line="176"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this prospectus and in any prospectus supplement, unless the context otherwise requires, references to “we,” “us,” “our” or similar terms, as well as references to “Zymeworks” or the “Company,” refer to Zymeworks Inc., either alone or together with our wholly-owned subsidiary, Zymeworks Biopharmaceuticals Inc. Furthermore, except as otherwise indicated, references to “Merck,” “Lilly,” “BMS,” “GSK,” “Daiichi Sankyo,” “Janssen,” “LEO,” “BeiGene,” “Iconic” and “Pfizer” refer to Merck Sharp &amp; Dohme Research Ltd., Eli Lilly and Company, Celgene Corporation and Celgene Alpine Investment Co. LLC (now a Bristol-Myers Squibb company), GlaxoSmithKline Intellectual Property Development Limited, Daiichi Sankyo Co., Ltd., Janssen Biotech, Inc., LEO Pharma A/S, BeiGene Ltd., Iconic Therapeutics, Inc. and Pfizer Inc., respectively.</w:t>
      </w:r>
    </w:p>
    <w:p>
      <w:pPr>
        <w:spacing w:after="0" w:line="187" w:lineRule="exact"/>
        <w:rPr>
          <w:sz w:val="20"/>
          <w:szCs w:val="20"/>
          <w:color w:val="auto"/>
        </w:rPr>
      </w:pPr>
    </w:p>
    <w:p>
      <w:pPr>
        <w:ind w:left="120" w:right="160"/>
        <w:spacing w:after="0" w:line="233" w:lineRule="auto"/>
        <w:rPr>
          <w:sz w:val="20"/>
          <w:szCs w:val="20"/>
          <w:color w:val="auto"/>
        </w:rPr>
      </w:pPr>
      <w:r>
        <w:rPr>
          <w:rFonts w:ascii="Times New Roman" w:cs="Times New Roman" w:eastAsia="Times New Roman" w:hAnsi="Times New Roman"/>
          <w:sz w:val="18"/>
          <w:szCs w:val="18"/>
          <w:color w:val="auto"/>
        </w:rPr>
        <w:t xml:space="preserve">The names Azymetric, Zymeworks, ZymeCAD, EFECT, ZymeLink and the phrase “Building Better Biologics” are our registered trademarks. Other trademarks, product names and company names appearing in this prospectus and any prospectus supplement and documents incorporated by reference in this prospectus and any prospectus supplement are the property of their respective owners. Solely for convenience, the trademarks, service marks, tradenames and copyrights referred to in this prospectus are listed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TM symbols, but we will assert, to the fullest extent under applicable law, our rights or the rights of the applicable licensors to these trademarks, service marks and tradenames.</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20"/>
          </w:cols>
          <w:pgMar w:left="320" w:top="455" w:right="45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right="20"/>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under the section of this prospectus captioned “Risk Factors” and the financial statements and related notes and other information that we incorporate by reference herein, including our Annual Report on Form 10-K and our Quarterly Reports on Form 10-Q. Unless the context indicates otherwise, references in this prospectus to “Zymeworks,” “we,” “our” and “us” refer, collectively, to Zymeworks Inc. and its subsidiary.</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21" w:lineRule="exact"/>
        <w:rPr>
          <w:sz w:val="20"/>
          <w:szCs w:val="20"/>
          <w:color w:val="auto"/>
        </w:rPr>
      </w:pPr>
    </w:p>
    <w:p>
      <w:pPr>
        <w:ind w:left="300" w:right="200"/>
        <w:spacing w:after="0" w:line="261" w:lineRule="auto"/>
        <w:rPr>
          <w:sz w:val="20"/>
          <w:szCs w:val="20"/>
          <w:color w:val="auto"/>
        </w:rPr>
      </w:pPr>
      <w:r>
        <w:rPr>
          <w:rFonts w:ascii="Times New Roman" w:cs="Times New Roman" w:eastAsia="Times New Roman" w:hAnsi="Times New Roman"/>
          <w:sz w:val="18"/>
          <w:szCs w:val="18"/>
          <w:color w:val="auto"/>
        </w:rPr>
        <w:t>Zymeworks is a clinical-stage biopharmaceutical company dedicated to the development of next-generation multifunctional biotherapeutics. Our suite of complementary therapeutic platforms and our fully integrated drug development engine provide the flexibility and compatibility to precisely engineer and develop highly differentiated product candidates. These capabilities have resulted in multiple product candidates with the potential to drive positive outcomes in large underserved and unaddressed patient populations.</w:t>
      </w:r>
    </w:p>
    <w:p>
      <w:pPr>
        <w:spacing w:after="0" w:line="180" w:lineRule="exact"/>
        <w:rPr>
          <w:sz w:val="20"/>
          <w:szCs w:val="20"/>
          <w:color w:val="auto"/>
        </w:rPr>
      </w:pPr>
    </w:p>
    <w:p>
      <w:pPr>
        <w:ind w:left="300" w:right="60"/>
        <w:spacing w:after="0" w:line="253" w:lineRule="auto"/>
        <w:rPr>
          <w:sz w:val="20"/>
          <w:szCs w:val="20"/>
          <w:color w:val="auto"/>
        </w:rPr>
      </w:pPr>
      <w:r>
        <w:rPr>
          <w:rFonts w:ascii="Times New Roman" w:cs="Times New Roman" w:eastAsia="Times New Roman" w:hAnsi="Times New Roman"/>
          <w:sz w:val="18"/>
          <w:szCs w:val="18"/>
          <w:color w:val="auto"/>
        </w:rPr>
        <w:t>Our lead product candidate, zanidatamab (formerly known as ZW25), is a novel bispecific antibody that targets two distinct domains of the human epidermal growth factor receptor 2 (“HER2”). The unique mechanism of action of zanidatamab may enable it to address unmet need in patient populations with HER2-expressing cancers, including those with lower levels of expression, for which there are no approved HER2-targeted agents. In clinical trials, monotherapy zanidatamab and zanidatamab in combination with chemotherapy have been well tolerated with promising antitumor activity in patients with heavily pretreated HER2-expressing cancers that have progressed after having received standard of care, including multiple HER2-targeted regimens. Based on these data, we initiated a number of global multicenter clinical trials to</w:t>
      </w:r>
    </w:p>
    <w:p>
      <w:pPr>
        <w:spacing w:after="0" w:line="5" w:lineRule="exact"/>
        <w:rPr>
          <w:sz w:val="20"/>
          <w:szCs w:val="20"/>
          <w:color w:val="auto"/>
        </w:rPr>
      </w:pPr>
    </w:p>
    <w:p>
      <w:pPr>
        <w:ind w:left="300" w:right="40"/>
        <w:spacing w:after="0" w:line="251" w:lineRule="auto"/>
        <w:rPr>
          <w:sz w:val="20"/>
          <w:szCs w:val="20"/>
          <w:color w:val="auto"/>
        </w:rPr>
      </w:pPr>
      <w:r>
        <w:rPr>
          <w:rFonts w:ascii="Times New Roman" w:cs="Times New Roman" w:eastAsia="Times New Roman" w:hAnsi="Times New Roman"/>
          <w:sz w:val="18"/>
          <w:szCs w:val="18"/>
          <w:color w:val="auto"/>
        </w:rPr>
        <w:t>evaluate zanidatamab in specific indications and lines of therapy. These include (i) a pivotal trial in patients with previously treated HER2 gene amplified biliary tract cancer (“BTC”), (ii) the first-line treatment of HER2-positive metastatic gastroesophageal adenocarcinomas (“GEA”), BTC, or colorectal cancer in combination with standard of care chemotherapy, (iii) previously-treated locally advanced and/or metastatic HER2-positive, hormone receptor-positive breast cancer in combination with Pfizer’s Ibrance (palbociclib) and fulvestrant, and (iv) previously-treated locally advanced and/or metastatic HER2-expressing breast cancer in combination with Seagen, Inc.’s Tukysa (tucatinib) and chemotherapy. Our partner, BeiGene, has initiated Phase 1b/2 clinical trials evaluating zanidatamab for (i) the first-line treatment of metastatic HER2-positive breast cancer in combination with docetaxel and for (ii) the first-line treatment of metastatic HER2-positive GEA in combination with tislelizumab and chemotherapy. In addition, zanidatamab continues to be evaluated in several indications including colorectal, endometrial and other HER2-expressing cancers.</w:t>
      </w:r>
    </w:p>
    <w:p>
      <w:pPr>
        <w:spacing w:after="0" w:line="193"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Our second product candidate, ZW49, combines the unique design of zanidatamab with our ZymeLink antibody-drug conjugate (“ADC”) platform, comprised of our proprietary cytotoxin (cancer cell-killing compound) and cleavable linker. We designed ZW49 to be a best-in-class HER2-targeting ADC to further address unmet need across a range of HER2-expressing cancers. A Phase 1 clinical trial to establish safety and antitumor activity of ZW49 began in 2019.</w:t>
      </w:r>
    </w:p>
    <w:p>
      <w:pPr>
        <w:spacing w:after="0" w:line="180" w:lineRule="exact"/>
        <w:rPr>
          <w:sz w:val="20"/>
          <w:szCs w:val="20"/>
          <w:color w:val="auto"/>
        </w:rPr>
      </w:pPr>
    </w:p>
    <w:p>
      <w:pPr>
        <w:ind w:left="300" w:right="200"/>
        <w:spacing w:after="0" w:line="282" w:lineRule="auto"/>
        <w:rPr>
          <w:sz w:val="20"/>
          <w:szCs w:val="20"/>
          <w:color w:val="auto"/>
        </w:rPr>
      </w:pPr>
      <w:r>
        <w:rPr>
          <w:rFonts w:ascii="Times New Roman" w:cs="Times New Roman" w:eastAsia="Times New Roman" w:hAnsi="Times New Roman"/>
          <w:sz w:val="18"/>
          <w:szCs w:val="18"/>
          <w:color w:val="auto"/>
        </w:rPr>
        <w:t>We are also advancing a deep pipeline of preclinical product candidates and discovery-stage programs in oncology (including immuno-oncology agents) and other therapeutic areas.</w:t>
      </w:r>
    </w:p>
    <w:p>
      <w:pPr>
        <w:spacing w:after="0" w:line="162" w:lineRule="exact"/>
        <w:rPr>
          <w:sz w:val="20"/>
          <w:szCs w:val="20"/>
          <w:color w:val="auto"/>
        </w:rPr>
      </w:pPr>
    </w:p>
    <w:p>
      <w:pPr>
        <w:ind w:left="300" w:right="120"/>
        <w:spacing w:after="0" w:line="282" w:lineRule="auto"/>
        <w:rPr>
          <w:sz w:val="20"/>
          <w:szCs w:val="20"/>
          <w:color w:val="auto"/>
        </w:rPr>
      </w:pPr>
      <w:r>
        <w:rPr>
          <w:rFonts w:ascii="Times New Roman" w:cs="Times New Roman" w:eastAsia="Times New Roman" w:hAnsi="Times New Roman"/>
          <w:sz w:val="18"/>
          <w:szCs w:val="18"/>
          <w:color w:val="auto"/>
        </w:rPr>
        <w:t>Our proprietary capabilities and technologies include several modular, complementary therapeutic platforms that can be used in combination with each other and with existing approaches. This ability to layer technologies</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0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2">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60"/>
        <w:spacing w:after="0" w:line="282" w:lineRule="auto"/>
        <w:rPr>
          <w:sz w:val="20"/>
          <w:szCs w:val="20"/>
          <w:color w:val="auto"/>
        </w:rPr>
      </w:pPr>
      <w:r>
        <w:rPr>
          <w:rFonts w:ascii="Times New Roman" w:cs="Times New Roman" w:eastAsia="Times New Roman" w:hAnsi="Times New Roman"/>
          <w:sz w:val="18"/>
          <w:szCs w:val="18"/>
          <w:color w:val="auto"/>
        </w:rPr>
        <w:t>without compromising manufacturability enables us to engineer next-generation biotherapeutics with synergistic activity, which we believe will result in improved patient outcomes. Our core platforms include:</w:t>
      </w:r>
    </w:p>
    <w:p>
      <w:pPr>
        <w:spacing w:after="0" w:line="65" w:lineRule="exact"/>
        <w:rPr>
          <w:sz w:val="20"/>
          <w:szCs w:val="20"/>
          <w:color w:val="auto"/>
        </w:rPr>
      </w:pPr>
    </w:p>
    <w:p>
      <w:pPr>
        <w:ind w:left="1240" w:right="60" w:hanging="415"/>
        <w:spacing w:after="0" w:line="267"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Azymetric</w:t>
      </w:r>
      <w:r>
        <w:rPr>
          <w:rFonts w:ascii="Times New Roman" w:cs="Times New Roman" w:eastAsia="Times New Roman" w:hAnsi="Times New Roman"/>
          <w:sz w:val="18"/>
          <w:szCs w:val="18"/>
          <w:color w:val="auto"/>
        </w:rPr>
        <w:t>, our bispecific platform, which enables therapeutic antibodies to simultaneously bind multiple distinct locations on a target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(known as an epitope) or to multiple targets. This is achieved by tailoring multiple configurations of the antibody’s Fab regions (locations on the antibody to which epitopes bind);</w:t>
      </w:r>
    </w:p>
    <w:p>
      <w:pPr>
        <w:spacing w:after="0" w:line="78" w:lineRule="exact"/>
        <w:rPr>
          <w:rFonts w:ascii="Times New Roman" w:cs="Times New Roman" w:eastAsia="Times New Roman" w:hAnsi="Times New Roman"/>
          <w:sz w:val="18"/>
          <w:szCs w:val="18"/>
          <w:color w:val="auto"/>
        </w:rPr>
      </w:pPr>
    </w:p>
    <w:p>
      <w:pPr>
        <w:ind w:left="1240" w:right="20" w:hanging="415"/>
        <w:spacing w:after="0" w:line="267"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ZymeLink, </w:t>
      </w:r>
      <w:r>
        <w:rPr>
          <w:rFonts w:ascii="Times New Roman" w:cs="Times New Roman" w:eastAsia="Times New Roman" w:hAnsi="Times New Roman"/>
          <w:sz w:val="18"/>
          <w:szCs w:val="18"/>
          <w:color w:val="auto"/>
        </w:rPr>
        <w:t>our ADC platform, comprised of cytotoxins and the linker technology used to couple these cytotoxins to tumor-targeting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or proteins. This platform can be used in conjunction with our other therapeutic platforms to increase safety and efficacy as compared to existing ADC technologies;</w:t>
      </w:r>
    </w:p>
    <w:p>
      <w:pPr>
        <w:spacing w:after="0" w:line="78"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EFECT, </w:t>
      </w:r>
      <w:r>
        <w:rPr>
          <w:rFonts w:ascii="Times New Roman" w:cs="Times New Roman" w:eastAsia="Times New Roman" w:hAnsi="Times New Roman"/>
          <w:sz w:val="18"/>
          <w:szCs w:val="18"/>
          <w:color w:val="auto"/>
        </w:rPr>
        <w:t>which enables finely tuned modulation (both up and down) of immune cell recruitment and function; and</w:t>
      </w:r>
    </w:p>
    <w:p>
      <w:pPr>
        <w:spacing w:after="0" w:line="130" w:lineRule="exact"/>
        <w:rPr>
          <w:rFonts w:ascii="Times New Roman" w:cs="Times New Roman" w:eastAsia="Times New Roman" w:hAnsi="Times New Roman"/>
          <w:sz w:val="18"/>
          <w:szCs w:val="18"/>
          <w:color w:val="auto"/>
        </w:rPr>
      </w:pPr>
    </w:p>
    <w:p>
      <w:pPr>
        <w:ind w:left="1240" w:right="240" w:hanging="415"/>
        <w:spacing w:after="0" w:line="284" w:lineRule="auto"/>
        <w:tabs>
          <w:tab w:leader="none" w:pos="12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ProTECT, </w:t>
      </w:r>
      <w:r>
        <w:rPr>
          <w:rFonts w:ascii="Times New Roman" w:cs="Times New Roman" w:eastAsia="Times New Roman" w:hAnsi="Times New Roman"/>
          <w:sz w:val="18"/>
          <w:szCs w:val="18"/>
          <w:color w:val="auto"/>
        </w:rPr>
        <w:t>which enables tumor-specific activity that may reduce systemic toxicity, and simultaneously enhances localized immune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co-stimulation or checkpoint modulation that may increase efficacy.</w:t>
      </w:r>
    </w:p>
    <w:p>
      <w:pPr>
        <w:spacing w:after="0" w:line="160" w:lineRule="exact"/>
        <w:rPr>
          <w:sz w:val="20"/>
          <w:szCs w:val="20"/>
          <w:color w:val="auto"/>
        </w:rPr>
      </w:pPr>
    </w:p>
    <w:p>
      <w:pPr>
        <w:ind w:left="300" w:right="220"/>
        <w:spacing w:after="0" w:line="266" w:lineRule="auto"/>
        <w:rPr>
          <w:sz w:val="20"/>
          <w:szCs w:val="20"/>
          <w:color w:val="auto"/>
        </w:rPr>
      </w:pPr>
      <w:r>
        <w:rPr>
          <w:rFonts w:ascii="Times New Roman" w:cs="Times New Roman" w:eastAsia="Times New Roman" w:hAnsi="Times New Roman"/>
          <w:sz w:val="18"/>
          <w:szCs w:val="18"/>
          <w:color w:val="auto"/>
        </w:rPr>
        <w:t>Our protein engineering expertise and proprietary structure-guided molecular modeling capabilities enable these therapeutic platforms. Together with our internal antibody discovery and generation technologies, we have established a fully integrated drug development engine and toolkit capable of rapidly delivering a steady pipeline of next-generation product candidates in oncology and other therapeutic areas.</w:t>
      </w:r>
    </w:p>
    <w:p>
      <w:pPr>
        <w:spacing w:after="0" w:line="176" w:lineRule="exact"/>
        <w:rPr>
          <w:sz w:val="20"/>
          <w:szCs w:val="20"/>
          <w:color w:val="auto"/>
        </w:rPr>
      </w:pPr>
    </w:p>
    <w:p>
      <w:pPr>
        <w:ind w:left="300" w:right="680"/>
        <w:spacing w:after="0" w:line="312" w:lineRule="auto"/>
        <w:rPr>
          <w:sz w:val="20"/>
          <w:szCs w:val="20"/>
          <w:color w:val="auto"/>
        </w:rPr>
      </w:pPr>
      <w:r>
        <w:rPr>
          <w:rFonts w:ascii="Times New Roman" w:cs="Times New Roman" w:eastAsia="Times New Roman" w:hAnsi="Times New Roman"/>
          <w:sz w:val="17"/>
          <w:szCs w:val="17"/>
          <w:color w:val="auto"/>
        </w:rPr>
        <w:t>Our Azymetric, EFECT and ZymeLink therapeutic platforms have been further leveraged through multiple revenue-generating strategic partnerships with the following global pharmaceutical companies: Merck, Lilly, BMS, GSK, Daiichi, Janssen, LEO, BeiGene, and Iconic.</w:t>
      </w:r>
    </w:p>
    <w:p>
      <w:pPr>
        <w:spacing w:after="0" w:line="140" w:lineRule="exact"/>
        <w:rPr>
          <w:sz w:val="20"/>
          <w:szCs w:val="20"/>
          <w:color w:val="auto"/>
        </w:rPr>
      </w:pPr>
    </w:p>
    <w:p>
      <w:pPr>
        <w:ind w:left="300"/>
        <w:spacing w:after="0" w:line="266" w:lineRule="auto"/>
        <w:rPr>
          <w:sz w:val="20"/>
          <w:szCs w:val="20"/>
          <w:color w:val="auto"/>
        </w:rPr>
      </w:pPr>
      <w:r>
        <w:rPr>
          <w:rFonts w:ascii="Times New Roman" w:cs="Times New Roman" w:eastAsia="Times New Roman" w:hAnsi="Times New Roman"/>
          <w:sz w:val="18"/>
          <w:szCs w:val="18"/>
          <w:color w:val="auto"/>
        </w:rPr>
        <w:t>Our goal is to leverage our next-generation therapeutic platforms and proprietary protein engineering capabilities to become a domain dominator in the discovery, development and commercialization of best-in-class multifunctional biotherapeutics for the treatment of cancer and other diseases with high unmet medical need.</w:t>
      </w:r>
    </w:p>
    <w:p>
      <w:pPr>
        <w:spacing w:after="0" w:line="176" w:lineRule="exact"/>
        <w:rPr>
          <w:sz w:val="20"/>
          <w:szCs w:val="20"/>
          <w:color w:val="auto"/>
        </w:rPr>
      </w:pPr>
    </w:p>
    <w:p>
      <w:pPr>
        <w:ind w:left="300" w:right="400"/>
        <w:spacing w:after="0" w:line="256" w:lineRule="auto"/>
        <w:rPr>
          <w:sz w:val="20"/>
          <w:szCs w:val="20"/>
          <w:color w:val="auto"/>
        </w:rPr>
      </w:pPr>
      <w:r>
        <w:rPr>
          <w:rFonts w:ascii="Times New Roman" w:cs="Times New Roman" w:eastAsia="Times New Roman" w:hAnsi="Times New Roman"/>
          <w:sz w:val="18"/>
          <w:szCs w:val="18"/>
          <w:color w:val="auto"/>
        </w:rPr>
        <w:t>We commenced operations in 2003 and have since devoted substantially all of our resources to research and development activities including developing our therapeutic platforms, identifying and developing potential product candidates and undertaking preclinical studies and clinical trials. Additionally, we have supported our research and development activities with general and administrative support, as well as by raising capital, conducting business planning and protecting our intellectual property. We have not generated any revenue from the sale of approved products to date and do not expect to do so until such time as we obtain regulatory approval and commercialize one or more of our product candidates. We cannot be certain of the timing or success of approval of our product candidates.</w:t>
      </w:r>
    </w:p>
    <w:p>
      <w:pPr>
        <w:spacing w:after="0" w:line="187" w:lineRule="exact"/>
        <w:rPr>
          <w:sz w:val="20"/>
          <w:szCs w:val="20"/>
          <w:color w:val="auto"/>
        </w:rPr>
      </w:pPr>
    </w:p>
    <w:p>
      <w:pPr>
        <w:ind w:left="300" w:right="40"/>
        <w:spacing w:after="0" w:line="255" w:lineRule="auto"/>
        <w:rPr>
          <w:sz w:val="20"/>
          <w:szCs w:val="20"/>
          <w:color w:val="auto"/>
        </w:rPr>
      </w:pPr>
      <w:r>
        <w:rPr>
          <w:rFonts w:ascii="Times New Roman" w:cs="Times New Roman" w:eastAsia="Times New Roman" w:hAnsi="Times New Roman"/>
          <w:sz w:val="18"/>
          <w:szCs w:val="18"/>
          <w:color w:val="auto"/>
        </w:rPr>
        <w:t>Since our initial public offering (“IPO”) in 2017, we have funded our operations primarily through follow-on public offerings, including the issuance of pre-funded warrants, and payments received under our license and collaboration agreements. Payments received from our license and collaboration agreements include upfront fees, milestone payments, as well as research support and reimbursement payments. Prior to our IPO, we also received financing from private equity placements and the issuance of convertible debt, which was subsequently converted into equity securities, and a credit facility. From inception to June 30, 2021, we received $796.5 million, net of equity issue costs, from these sources of financing including proceeds from exercises of stock options and employee stock purchase plans. As of June 30, 2021, we had $359.8 million of cash resources consisting of cash, cash equivalents and short-term investments.</w:t>
      </w:r>
    </w:p>
    <w:p>
      <w:pPr>
        <w:spacing w:after="0" w:line="189" w:lineRule="exact"/>
        <w:rPr>
          <w:sz w:val="20"/>
          <w:szCs w:val="20"/>
          <w:color w:val="auto"/>
        </w:rPr>
      </w:pPr>
    </w:p>
    <w:p>
      <w:pPr>
        <w:ind w:left="300" w:right="280"/>
        <w:spacing w:after="0" w:line="282" w:lineRule="auto"/>
        <w:rPr>
          <w:sz w:val="20"/>
          <w:szCs w:val="20"/>
          <w:color w:val="auto"/>
        </w:rPr>
      </w:pPr>
      <w:r>
        <w:rPr>
          <w:rFonts w:ascii="Times New Roman" w:cs="Times New Roman" w:eastAsia="Times New Roman" w:hAnsi="Times New Roman"/>
          <w:sz w:val="18"/>
          <w:szCs w:val="18"/>
          <w:color w:val="auto"/>
        </w:rPr>
        <w:t>Although it is difficult to predict our funding requirements, based upon our current operating plan, we anticipate that our existing cash and cash equivalents and short-term investments as of June 30, 2021, combined with the</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5" w:right="6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821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6998970" cy="66821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collaboration payments we anticipate receiving, will enable us to fund our planned operations into the second half of 2022 and potentially beyond.</w:t>
      </w:r>
    </w:p>
    <w:p>
      <w:pPr>
        <w:spacing w:after="0" w:line="225" w:lineRule="exact"/>
        <w:rPr>
          <w:sz w:val="20"/>
          <w:szCs w:val="20"/>
          <w:color w:val="auto"/>
        </w:rPr>
      </w:pPr>
    </w:p>
    <w:p>
      <w:pPr>
        <w:jc w:val="both"/>
        <w:ind w:left="300" w:right="360"/>
        <w:spacing w:after="0" w:line="266" w:lineRule="auto"/>
        <w:rPr>
          <w:sz w:val="20"/>
          <w:szCs w:val="20"/>
          <w:color w:val="auto"/>
        </w:rPr>
      </w:pPr>
      <w:r>
        <w:rPr>
          <w:rFonts w:ascii="Times New Roman" w:cs="Times New Roman" w:eastAsia="Times New Roman" w:hAnsi="Times New Roman"/>
          <w:sz w:val="18"/>
          <w:szCs w:val="18"/>
          <w:color w:val="auto"/>
        </w:rPr>
        <w:t>We reported a net loss of $112.1 million for the six months ended June 30, 2021 and through June 30, 2021, we had an accumulated deficit of $583.4 million. Over the next several years, we expect to continue to incur losses as we increase our research and development expenditures in connection with the ongoing development of our product candidates and other clinical, preclinical and regulatory activities.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9" w:lineRule="exact"/>
        <w:rPr>
          <w:sz w:val="20"/>
          <w:szCs w:val="20"/>
          <w:color w:val="auto"/>
        </w:rPr>
      </w:pPr>
    </w:p>
    <w:p>
      <w:pPr>
        <w:ind w:left="300"/>
        <w:spacing w:after="0" w:line="254" w:lineRule="auto"/>
        <w:rPr>
          <w:sz w:val="20"/>
          <w:szCs w:val="20"/>
          <w:color w:val="auto"/>
        </w:rPr>
      </w:pPr>
      <w:r>
        <w:rPr>
          <w:rFonts w:ascii="Times New Roman" w:cs="Times New Roman" w:eastAsia="Times New Roman" w:hAnsi="Times New Roman"/>
          <w:sz w:val="18"/>
          <w:szCs w:val="18"/>
          <w:color w:val="auto"/>
        </w:rPr>
        <w:t xml:space="preserve">We were incorporated on September 8, 2003 under the </w:t>
      </w:r>
      <w:r>
        <w:rPr>
          <w:rFonts w:ascii="Times New Roman" w:cs="Times New Roman" w:eastAsia="Times New Roman" w:hAnsi="Times New Roman"/>
          <w:sz w:val="18"/>
          <w:szCs w:val="18"/>
          <w:i w:val="1"/>
          <w:iCs w:val="1"/>
          <w:color w:val="auto"/>
        </w:rPr>
        <w:t>Canada Business Corporations Act</w:t>
      </w:r>
      <w:r>
        <w:rPr>
          <w:rFonts w:ascii="Times New Roman" w:cs="Times New Roman" w:eastAsia="Times New Roman" w:hAnsi="Times New Roman"/>
          <w:sz w:val="18"/>
          <w:szCs w:val="18"/>
          <w:color w:val="auto"/>
        </w:rPr>
        <w:t xml:space="preserve">, under the name “Zymeworks Inc.” On October 22, 2003, we were registered as an extra-provincial company under the </w:t>
      </w:r>
      <w:r>
        <w:rPr>
          <w:rFonts w:ascii="Times New Roman" w:cs="Times New Roman" w:eastAsia="Times New Roman" w:hAnsi="Times New Roman"/>
          <w:sz w:val="18"/>
          <w:szCs w:val="18"/>
          <w:i w:val="1"/>
          <w:iCs w:val="1"/>
          <w:color w:val="auto"/>
        </w:rPr>
        <w:t>Company Act</w:t>
      </w:r>
      <w:r>
        <w:rPr>
          <w:rFonts w:ascii="Times New Roman" w:cs="Times New Roman" w:eastAsia="Times New Roman" w:hAnsi="Times New Roman"/>
          <w:sz w:val="18"/>
          <w:szCs w:val="18"/>
          <w:color w:val="auto"/>
        </w:rPr>
        <w:t xml:space="preserve"> (British Columbia), the predecessor to the </w:t>
      </w:r>
      <w:r>
        <w:rPr>
          <w:rFonts w:ascii="Times New Roman" w:cs="Times New Roman" w:eastAsia="Times New Roman" w:hAnsi="Times New Roman"/>
          <w:sz w:val="18"/>
          <w:szCs w:val="18"/>
          <w:i w:val="1"/>
          <w:iCs w:val="1"/>
          <w:color w:val="auto"/>
        </w:rPr>
        <w:t>Business Corporations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(British Columbia), or the BCBCA. Zymeworks continued to the BCBCA on May 2, 2017. Our principal office is located at 1385 West 8th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Avenue, Suite 540, Vancouver, British Columbia, Canada V6H 3V9, and our telephone number is (604) 678-1388. We have one wholly owned subsidiary located in Seattle, Washington named Zymeworks Biopharmaceuticals Inc. Our corporate website address is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xml:space="preserve"> The references to </w:t>
      </w:r>
      <w:r>
        <w:rPr>
          <w:rFonts w:ascii="Times New Roman" w:cs="Times New Roman" w:eastAsia="Times New Roman" w:hAnsi="Times New Roman"/>
          <w:sz w:val="18"/>
          <w:szCs w:val="18"/>
          <w:i w:val="1"/>
          <w:iCs w:val="1"/>
          <w:color w:val="auto"/>
        </w:rPr>
        <w:t>www.zymeworks.com</w:t>
      </w:r>
      <w:r>
        <w:rPr>
          <w:rFonts w:ascii="Times New Roman" w:cs="Times New Roman" w:eastAsia="Times New Roman" w:hAnsi="Times New Roman"/>
          <w:sz w:val="18"/>
          <w:szCs w:val="18"/>
          <w:color w:val="auto"/>
        </w:rPr>
        <w:t xml:space="preserve"> in this prospectus and the documents incorporated by reference herein or therein are inactive textual references only, and the information found on our internet website is not incorporated by reference into, and should not be considered part of, this prospectus or the documents incorporated by reference herein or therein. Investors should not rely on any such information in deciding whether to invest in our securities.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Securities That May Be Offered</w:t>
      </w:r>
    </w:p>
    <w:p>
      <w:pPr>
        <w:spacing w:after="0" w:line="121" w:lineRule="exact"/>
        <w:rPr>
          <w:sz w:val="20"/>
          <w:szCs w:val="20"/>
          <w:color w:val="auto"/>
        </w:rPr>
      </w:pPr>
    </w:p>
    <w:p>
      <w:pPr>
        <w:ind w:left="300" w:right="40"/>
        <w:spacing w:after="0" w:line="258" w:lineRule="auto"/>
        <w:rPr>
          <w:sz w:val="20"/>
          <w:szCs w:val="20"/>
          <w:color w:val="auto"/>
        </w:rPr>
      </w:pPr>
      <w:r>
        <w:rPr>
          <w:rFonts w:ascii="Times New Roman" w:cs="Times New Roman" w:eastAsia="Times New Roman" w:hAnsi="Times New Roman"/>
          <w:sz w:val="18"/>
          <w:szCs w:val="18"/>
          <w:color w:val="auto"/>
        </w:rPr>
        <w:t>We may offer or sell common shares, preferred shares, debt securities, warrants, subscription rights and units in one or more offerings and in any combination, and the selling securityholders to be named in a supplement to this prospectus may from time to time offer and sell our securities. Each time securities are offered with this prospectus, we will provide a prospectus supplement that will describe the specific amounts, prices and terms of the securities being offered and the net proceeds we expect to receive from that sale. We will not receive any proceeds from the sale of our securities by the selling securityholders.</w:t>
      </w:r>
    </w:p>
    <w:p>
      <w:pPr>
        <w:spacing w:after="0" w:line="183" w:lineRule="exact"/>
        <w:rPr>
          <w:sz w:val="20"/>
          <w:szCs w:val="20"/>
          <w:color w:val="auto"/>
        </w:rPr>
      </w:pPr>
    </w:p>
    <w:p>
      <w:pPr>
        <w:jc w:val="both"/>
        <w:ind w:left="300" w:right="340"/>
        <w:spacing w:after="0" w:line="261" w:lineRule="auto"/>
        <w:rPr>
          <w:sz w:val="20"/>
          <w:szCs w:val="20"/>
          <w:color w:val="auto"/>
        </w:rPr>
      </w:pPr>
      <w:r>
        <w:rPr>
          <w:rFonts w:ascii="Times New Roman" w:cs="Times New Roman" w:eastAsia="Times New Roman" w:hAnsi="Times New Roman"/>
          <w:sz w:val="18"/>
          <w:szCs w:val="18"/>
          <w:color w:val="auto"/>
        </w:rPr>
        <w:t>The securities may be sold to or through underwriters, dealers or agents or directly to purchasers or as otherwise set forth in the section of this prospectus captioned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Common Shares</w:t>
      </w:r>
    </w:p>
    <w:p>
      <w:pPr>
        <w:spacing w:after="0" w:line="121" w:lineRule="exact"/>
        <w:rPr>
          <w:sz w:val="20"/>
          <w:szCs w:val="20"/>
          <w:color w:val="auto"/>
        </w:rPr>
      </w:pPr>
    </w:p>
    <w:p>
      <w:pPr>
        <w:ind w:left="300" w:right="80"/>
        <w:spacing w:after="0" w:line="255" w:lineRule="auto"/>
        <w:rPr>
          <w:sz w:val="20"/>
          <w:szCs w:val="20"/>
          <w:color w:val="auto"/>
        </w:rPr>
      </w:pPr>
      <w:r>
        <w:rPr>
          <w:rFonts w:ascii="Times New Roman" w:cs="Times New Roman" w:eastAsia="Times New Roman" w:hAnsi="Times New Roman"/>
          <w:sz w:val="18"/>
          <w:szCs w:val="18"/>
          <w:color w:val="auto"/>
        </w:rPr>
        <w:t>We or the selling securityholders may offer common shares, no par value, either alone or underlying other registered securities convertible into our common shares. The shareholders of the Company are entitled to one vote for each common share on all matters to be voted on by the shareholders. Our articles provide for a classified (or staggered) board of directors consisting of three classes of directors, with directors serving staggered three-year terms. Shareholders of the Company are not entitled to cumulative voting in the election of directors. Each common share is equal to every other common share and all common shares participate equally on liquidation, dissolution or winding up of our Company, whether voluntary or involuntary, or any other distribution of our assets among our shareholders for the purpose of winding up our affairs after the Company has paid out its liabilities.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Preferred Shares</w:t>
      </w:r>
    </w:p>
    <w:p>
      <w:pPr>
        <w:spacing w:after="0" w:line="121"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We may issue our preferred shares from time to time in one or more series. The terms of each series of preferred shares, including the number of shares, the designation, rights, preferences, privileges, priorities, restrictions, conditions and limitations, will be determined at the time of creation of each such series by our board of directors, without shareholder approval, provided that all preferred shares will rank equally within their class as to dividends and distributions in the event of our dissolution, liquidation or winding-up.</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320" w:top="455" w:right="6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7331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6998970" cy="37331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Debt Securities</w:t>
      </w:r>
    </w:p>
    <w:p>
      <w:pPr>
        <w:spacing w:after="0" w:line="121"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We may offer secured or unsecured obligations in the form of one or more series of senior or subordinated debt securities.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issue debt securities that are convertible into shares of our common shares.</w:t>
      </w:r>
    </w:p>
    <w:p>
      <w:pPr>
        <w:spacing w:after="0" w:line="183" w:lineRule="exact"/>
        <w:rPr>
          <w:sz w:val="20"/>
          <w:szCs w:val="20"/>
          <w:color w:val="auto"/>
        </w:rPr>
      </w:pPr>
    </w:p>
    <w:p>
      <w:pPr>
        <w:jc w:val="both"/>
        <w:ind w:left="300"/>
        <w:spacing w:after="0" w:line="266"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specified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left="300" w:right="260"/>
        <w:spacing w:after="0" w:line="282" w:lineRule="auto"/>
        <w:rPr>
          <w:sz w:val="20"/>
          <w:szCs w:val="20"/>
          <w:color w:val="auto"/>
        </w:rPr>
      </w:pPr>
      <w:r>
        <w:rPr>
          <w:rFonts w:ascii="Times New Roman" w:cs="Times New Roman" w:eastAsia="Times New Roman" w:hAnsi="Times New Roman"/>
          <w:sz w:val="18"/>
          <w:szCs w:val="18"/>
          <w:color w:val="auto"/>
        </w:rPr>
        <w:t>We may offer warrants for the purchase of common shares, preferred shares or debt securities. We may offer warrants independently or together with other securities.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Subscription Receipts</w:t>
      </w:r>
    </w:p>
    <w:p>
      <w:pPr>
        <w:spacing w:after="0" w:line="121" w:lineRule="exact"/>
        <w:rPr>
          <w:sz w:val="20"/>
          <w:szCs w:val="20"/>
          <w:color w:val="auto"/>
        </w:rPr>
      </w:pPr>
    </w:p>
    <w:p>
      <w:pPr>
        <w:ind w:left="300" w:right="580"/>
        <w:spacing w:after="0" w:line="282" w:lineRule="auto"/>
        <w:rPr>
          <w:sz w:val="20"/>
          <w:szCs w:val="20"/>
          <w:color w:val="auto"/>
        </w:rPr>
      </w:pPr>
      <w:r>
        <w:rPr>
          <w:rFonts w:ascii="Times New Roman" w:cs="Times New Roman" w:eastAsia="Times New Roman" w:hAnsi="Times New Roman"/>
          <w:sz w:val="18"/>
          <w:szCs w:val="18"/>
          <w:color w:val="auto"/>
        </w:rPr>
        <w:t>We may issue subscription receipts that are exchangeable for our equity securities and/or other securities. Our equity securities and/or other securities issued or delivered upon the exchange of subscription receipts will be issued for no additional consideration.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Units</w:t>
      </w:r>
    </w:p>
    <w:p>
      <w:pPr>
        <w:spacing w:after="0" w:line="121" w:lineRule="exact"/>
        <w:rPr>
          <w:sz w:val="20"/>
          <w:szCs w:val="20"/>
          <w:color w:val="auto"/>
        </w:rPr>
      </w:pPr>
    </w:p>
    <w:p>
      <w:pPr>
        <w:ind w:left="300" w:right="240"/>
        <w:spacing w:after="0" w:line="282"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w:t>
      </w:r>
    </w:p>
    <w:p>
      <w:pPr>
        <w:spacing w:after="0" w:line="27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Investing in our securities is speculative and involves a high degree of risk. Prior to making a decision about investing in our securities, you should carefully consider the specific factors discussed under the heading “Risk Factors” in the any applicable prospectus supplement and any free writing prospectus, together with all the information contained or incorporated by reference in the prospectus supplement or appearing or incorporated by reference in this prospectus, including the risks, uncertainties and assumptions discussed under the heading “Item 1A. Risk Factors” in our annual report on Form 10-K for the year ended December 31, 2020, as revised or supplemented by our subsequent quarterly reports on Form 10-Q or our current reports on Form 8-K, which are incorporated herein by reference, and which may be amended, supplemented or superseded from time to time by other reports we file with the SEC in the future. These risks, as well as risks currently unknown to us, could materially adversely affect our future business, operations and financial condition and could cause purchasers of securities to lose all or part of their investments. The risks and uncertainties we have described are not the only risks we face; risks and uncertainties not currently known to us or that we currently deem to be immaterial may also materially and adversely affect our business, financial condition, results of operations and prospects.</w:t>
      </w: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This prospectus, including the documents incorporated by reference herein, includes and incorporates by reference “forward-looking statements” within the meaning of the U.S. Private Securities Litigation Reform Act of 1995 and “forward-looking information” within the meaning of Canadian securities laws, or collectively, forward-looking statements. Forward-looking statements include statements that may relate to our plans, objectives, goals, strategies, future events, future revenue or performance, capital expenditures, financing needs and other information that is not historical information. Forward-looking statements can often be identified by the use of terminology such as “subject to,” “believe,” “anticipate,” “plan,” “expect,” “intend,” “estimate,” “project,” “may,” “will,” “should,” “would,” “could,” “can,” the negatives thereof, variations thereon and similar expressions, or by discussions of strategy. In addition, any statements or information that refer to expectations, beliefs, plans, projections, objectives, performance or other characterizations of future events or circumstances, including any underlying assumptions, are forward-looking. In particular, forward-looking statements in this prospectus and the documents incorporated by reference herein include, but are not limited to, statements about:</w:t>
      </w:r>
    </w:p>
    <w:p>
      <w:pPr>
        <w:spacing w:after="0" w:line="94"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addressable markets and our ability to commercialize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advances in and expansion of our therapeutic platforms and antibody engineering expertise;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product candidate development and clinical trial progression, initiation or success;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and manage government regulation;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business and operations.</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All forward-looking statements, including, without limitation, those related to our examination of historical operating trends, are based upon our current expectations and various assumptions. Certain assumptions made in preparing the forward-looking statements include:</w:t>
      </w:r>
    </w:p>
    <w:p>
      <w:pPr>
        <w:spacing w:after="0" w:line="67" w:lineRule="exact"/>
        <w:rPr>
          <w:sz w:val="20"/>
          <w:szCs w:val="20"/>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effectively;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material adverse changes in our industry or the global economy;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and predict trends in our industry and markets;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good business relationships with our strategic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current and future regulatory standards;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80"/>
          </w:cols>
          <w:pgMar w:left="320" w:top="455"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compliance with third-party license terms and the non-infringement of third-party intellectual property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and integrate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personnel;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sufficient debt or equity financing to support our continued growth.</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referred to under “Risk Factors,” above), could affect future performance and cause actual results to differ materially from those matters expressed in or implied by forward-looking statements:</w:t>
      </w:r>
    </w:p>
    <w:p>
      <w:pPr>
        <w:spacing w:after="0" w:line="85" w:lineRule="exact"/>
        <w:rPr>
          <w:sz w:val="20"/>
          <w:szCs w:val="20"/>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without significant delays;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value of our current or planned clinical trials;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with respect to the development and commercialization of our product candidates, which may cause increased costs or delay receipt of product revenue;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any of our partners’ ability to enroll subjects in clinical trials and thereby complete trials on a timely basis;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our execution of clinical trials may not support regulatory approval, including where clinical trials are conducted outside the United States;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business may be adversely affected by the COVID-19 pandemic;</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Fast Track and Breakthrough Therapy designations for any of our product candidates may not expedite regulatory review or approval;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Food and Drug Administration (the “FDA”) may not accept data from trials we conduct outside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and other government agencies caused by funding shortages or global health concerns;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discretion to discontinue or reprioritize the development of any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candidates to have undesirable side effects;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regulatory agency has made a determination that any of our product candidates are safe or effective for use by the general public or for any indication;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face significant competition, including biosimilar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broad market acceptance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Orphan Drug Designation or exclusivity for some or all of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products outside of the United States;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reimbursement decisions by third-party payors relating to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market opportunities for any product that we or our strategic partners develop;</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pursue product candidates that may be profitable or have a high likelihood of success;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and expand our therapeutic platforms to build a pipeline of product candidates;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80"/>
          </w:cols>
          <w:pgMar w:left="320" w:top="455"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requirements of ongoing regulatory review;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threat of product liability lawsuits against us or any of our strategic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candidate manufacturing or formulation that may result in additional costs or delay;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business and dilution of our shareholdings associated with acquisitions and joint ventures;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foreign governments to impose strict price controls;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security breaches or data loss, which could compromise sensitive business or health information;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and future legislation that may increase the difficulty and cost of commercializing our product candidates;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regulatory and other risks associated with international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legal and reputational penalties as a result of any of our current and future relationships with various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export control and import laws and regulations;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history of significant losses since inception;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product sales and achieve profitability;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requirement for substantial additional funding;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dilution to our shareholders associated with future financings;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seek financing, which may be imposed by future debt;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unstable market and economic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 changes in foreign currency exchange rates;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and future strategic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anticipated benefits of our strategic partnerships;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future strategic partners;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manufacturers to produce our product candidate supplies and on other third parties to store, monitor and transport bulk drug substance and drug product;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related to the manufacture of product candidates and difficulties in production;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oversee clinical trials of our product candidates and, in some cases, maintain regulatory files for those product candidates;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performance of independent clinical investigators and contract research organizations;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for various operational and administrative aspects of our business including our reliance on third parties’ cloud-based software platforms;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without infringing the patents and other proprietary rights of third parties;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enforce patent protection for our product candidates and related technology;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patents could be found invalid or unenforceable if challenged;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may not necessarily provide us with competitive advantages;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expensive and time-consuming patent lawsuits;</w:t>
      </w:r>
    </w:p>
    <w:p>
      <w:pPr>
        <w:spacing w:after="0" w:line="15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660"/>
          </w:cols>
          <w:pgMar w:left="320" w:top="455" w:right="9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duration of our patents will not adequately protect our competitive position;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protection under the Drug Price Competition and Patent Term Restoration Act of 1984 and similar foreign legislation;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protect the confidentiality of our proprietary information;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procedural and administrative requirements relating to our patents;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claims challenging the inventorship of our patents and other intellectual property;</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rights for some of our product candidates are dependent on the abilities of third parties to assert and defend such rights;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reform legislation and court decisions can diminish the value of patents in general, thereby impairing our ability to protect our products;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our intellectual property rights throughout the world;</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FDA approval for any proposed product candidate names and any failure or delay associated with such approval may adversely affect our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employee misconduct including noncompliance with regulatory standards and insider trading;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products in a manner that does not violate the law and subject us to civil or criminal penalties;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comply with laws regulating the protection of the environment and health and human safety, our business could be adversely affected;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key executives and attract and retain qualified personnel;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organizational growth;</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potential securities class action litigation;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our share price and trading volume could decline.</w:t>
      </w:r>
    </w:p>
    <w:p>
      <w:pPr>
        <w:spacing w:after="0" w:line="16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Consequently, forward-looking statements should be regarded solely as our current plans, estimates and beliefs. You should not place undue reliance on forward-looking statements. We cannot guarantee future results, events, levels of activity, performance or achievements. We do not undertake and specifically decline any obligation to update, republish or revise forward-looking statements to reflect future events or circumstances or to reflect the occurrences of unanticipated events, except as required by law.</w:t>
      </w:r>
    </w:p>
    <w:p>
      <w:pPr>
        <w:spacing w:after="0" w:line="180"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We express all amounts in this prospectus and the documents incorporated by reference herein in U.S. dollars, except where otherwise indicated. References to “$” and “US$” are to U.S. dollars and references to “C$” are to Canadian dollars. The following table sets forth, for the periods indicated, the high, low, average and end of period rates of exchange for one U.S. dollar, expressed in Canadian dollars, published by the Bank of Canada during the respective periods.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sets forth certain exchange rates based on the Bank of Canada daily exchange rate.</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3"/>
                <w:szCs w:val="13"/>
                <w:color w:val="auto"/>
              </w:rPr>
            </w:pPr>
          </w:p>
        </w:tc>
        <w:tc>
          <w:tcPr>
            <w:tcW w:w="2280" w:type="dxa"/>
            <w:vAlign w:val="bottom"/>
            <w:gridSpan w:val="6"/>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7260" w:type="dxa"/>
            <w:vAlign w:val="bottom"/>
          </w:tcPr>
          <w:p>
            <w:pPr>
              <w:spacing w:after="0"/>
              <w:rPr>
                <w:sz w:val="15"/>
                <w:szCs w:val="15"/>
                <w:color w:val="auto"/>
              </w:rPr>
            </w:pPr>
          </w:p>
        </w:tc>
        <w:tc>
          <w:tcPr>
            <w:tcW w:w="2280" w:type="dxa"/>
            <w:vAlign w:val="bottom"/>
            <w:gridSpan w:val="6"/>
            <w:vMerge w:val="continue"/>
          </w:tcPr>
          <w:p>
            <w:pPr>
              <w:spacing w:after="0"/>
              <w:rPr>
                <w:sz w:val="15"/>
                <w:szCs w:val="15"/>
                <w:color w:val="auto"/>
              </w:rPr>
            </w:pPr>
          </w:p>
        </w:tc>
        <w:tc>
          <w:tcPr>
            <w:tcW w:w="148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Highest rate during the period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1.3642</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92"/>
              </w:rPr>
              <w:t>1.3600</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2"/>
              </w:rPr>
              <w:t>1.4496</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Lowest rate during the period</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1.2288</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1.2988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1.2718</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1.2970</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1.2040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Average exchange rate for the period</w:t>
            </w:r>
            <w:r>
              <w:rPr>
                <w:rFonts w:ascii="Times New Roman" w:cs="Times New Roman" w:eastAsia="Times New Roman" w:hAnsi="Times New Roman"/>
                <w:sz w:val="25"/>
                <w:szCs w:val="25"/>
                <w:color w:val="auto"/>
                <w:vertAlign w:val="superscript"/>
              </w:rPr>
              <w:t>(1)</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1.3004</w:t>
            </w:r>
          </w:p>
        </w:tc>
        <w:tc>
          <w:tcPr>
            <w:tcW w:w="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1.3236</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1.3415</w:t>
            </w:r>
          </w:p>
        </w:tc>
        <w:tc>
          <w:tcPr>
            <w:tcW w:w="7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1.3696</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1.2465</w:t>
            </w:r>
          </w:p>
        </w:tc>
        <w:tc>
          <w:tcPr>
            <w:tcW w:w="0" w:type="dxa"/>
            <w:vAlign w:val="bottom"/>
          </w:tcPr>
          <w:p>
            <w:pPr>
              <w:spacing w:after="0"/>
              <w:rPr>
                <w:sz w:val="1"/>
                <w:szCs w:val="1"/>
                <w:color w:val="auto"/>
              </w:rPr>
            </w:pPr>
          </w:p>
        </w:tc>
      </w:tr>
      <w:tr>
        <w:trPr>
          <w:trHeight w:val="234"/>
        </w:trPr>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Rate at the end of the period</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1.3642</w:t>
            </w: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1.2988</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1.2732</w:t>
            </w:r>
          </w:p>
        </w:tc>
        <w:tc>
          <w:tcPr>
            <w:tcW w:w="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1.3628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1.2394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40" w:hanging="424"/>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by averaging the rates on the last day of each month during the respective period.</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 September 29, 2021 the Bank of Canada daily average rate of exchange was $1.00 = C$1.2741.</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EARNINGS COVERAGE</w:t>
      </w:r>
    </w:p>
    <w:p>
      <w:pPr>
        <w:spacing w:after="0" w:line="22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If we offer debt securities having a term to maturity in excess of one year or preferred shares under this prospectus and any applicable prospectus supplement, the applicable prospectus supplement will include earnings coverage ratios giving effect to the issuance of such securities, as required by Canadian securities laws.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Specific information about the use of proceeds from the specific issuance of any securities will be set forth in the applicable prospectus supplement.</w:t>
      </w:r>
    </w:p>
    <w:p>
      <w:pPr>
        <w:spacing w:after="0" w:line="225"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Unless otherwise set forth in the applicable prospectus supplement, we will not receive any proceeds in the event that securities are sold by a selling securityholder.</w:t>
      </w:r>
    </w:p>
    <w:p>
      <w:pPr>
        <w:spacing w:after="0" w:line="162"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As we currently have no revenues from product sales, we experienced a negative operating cash flow for the year ended December 31, 2020 and expect to experience a negative operating cash flow for the 2021 fiscal year. In order to raise additional funds to finance future growth opportunities, we may, from time to time, issue securities (including debt securities). See “Risk Factors.”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CAPITALIZATION</w:t>
      </w:r>
    </w:p>
    <w:p>
      <w:pPr>
        <w:spacing w:after="0" w:line="229"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share and loan capital, on a consolidated basis, since June 30, 2021, the date of our most recently filed financial statements.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PRIOR SALES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As required by Canadian securities laws, information in respect of our common shares that were issued within the previous twelve-month period, including common shares that were issued upon the exercise of options granted under our incentive stock option plan, the common shares that we issued pursuant to the employee stock purchase plan, and the common shares that we issued pursuant to the exercise of warrants will be provided as required in any applicable prospectus supplement.</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MARKET FOR SECURITIES</w:t>
      </w:r>
    </w:p>
    <w:p>
      <w:pPr>
        <w:spacing w:after="0" w:line="229"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common shares are listed and posted for trading on the NYSE under the symbol “ZYME.” Trading price and volume will be provided as required for our common shares in each prospectus supplement to this prospectus.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following description of the common shares and preferred shares summarizes material rights of our common shares and preferred shares, as contained in our notice of articles and articles and any amendments thereto. This summary is not a complete description of the share rights associated with our common shares and preferred shares. For more detailed information, please see the forms of our BCBCA notice of articles and articles, which are filed as exhibits to the registration statement of which this prospectus forms a part.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00"/>
          </w:cols>
          <w:pgMar w:left="320" w:top="455" w:right="4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21"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and an unlimited number of preferred shares. As of September 30, 2021, 46,553,960 common shares and no preferred shares were issued and outstanding. Our common shares are listed on the NYSE under the symbol “ZYME.”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shareholders of the Company are entitled to one vote for each common share on all matters to be voted on by the shareholders. Our articles provide for a classified (or staggered) board of directors consisting of three classes of directors, with directors serving staggered three-year terms. Shareholders of the Company are not entitled to cumulative voting in the election of directors. Each common share is equal to every other common share and all common shares participate equally on liquidation, dissolution or winding up of our Company, whether voluntary or involuntary, or any other distribution of our assets among our shareholders for the purpose of winding up our affairs after the Company has paid out its liabilities. There are no limitations on the right of nonresident or foreign owners of the common shares to hold or vote the common shares. The shareholders are entitled to receive pro rata such dividends as may be declared by our board of directors out of funds legally available for such purpose and to receive pro rata the remaining property of the Company upon dissolution. No shares have been issued subject to call or assessment. There are no pre-emptive or conversion rights, and no provisions for redemption, retraction, purchase or cancellation, surrender, sinking fund or purchase fund. Provisions as to the creation, modification, amendment or variation of such rights or such provisions are contained in the BCBCA and the articles of the Company. Generally speaking, substantive changes to our share capital require the approval of the shareholders by special resolution (at least two-thirds of the votes cast).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The Company has neither declared nor paid dividends on its common shares. The Company has no present intention of paying dividends on its common shares, as it anticipates that all available funds will be invested to finance the growth of its business.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121" w:lineRule="exact"/>
        <w:rPr>
          <w:sz w:val="20"/>
          <w:szCs w:val="20"/>
          <w:color w:val="auto"/>
        </w:rPr>
      </w:pPr>
    </w:p>
    <w:p>
      <w:pPr>
        <w:jc w:val="both"/>
        <w:ind w:left="120" w:right="60"/>
        <w:spacing w:after="0" w:line="261" w:lineRule="auto"/>
        <w:rPr>
          <w:sz w:val="20"/>
          <w:szCs w:val="20"/>
          <w:color w:val="auto"/>
        </w:rPr>
      </w:pPr>
      <w:r>
        <w:rPr>
          <w:rFonts w:ascii="Times New Roman" w:cs="Times New Roman" w:eastAsia="Times New Roman" w:hAnsi="Times New Roman"/>
          <w:sz w:val="18"/>
          <w:szCs w:val="18"/>
          <w:color w:val="auto"/>
        </w:rPr>
        <w:t>We may issue our preferred shares from time to time in one or more series. The terms of each series of preferred shares, including the number of shares, the designation, rights, preferences, privileges, priorities, restrictions, conditions and limitations, will be determined at the time of creation of each such series by our board of directors, without shareholder approval, provided that all preferred shares will rank equally within their class as to dividends and distributions in the event of our dissolution, liquidation or winding-up.</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Advance Notice Policy</w:t>
      </w:r>
    </w:p>
    <w:p>
      <w:pPr>
        <w:spacing w:after="0" w:line="121"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Our articles include an advance notice policy (the “Advance Notice Policy”). The Advance Notice Policy provides that any shareholder seeking to nominate a candidate for election as a director (a “Nominating Shareholder”) at any annual meeting of the shareholders, or at any special meeting of shareholders if one of the purposes for which the special meeting was called was the election of directors, must give timely notice thereof in proper written form to our Corporate Secretary.</w:t>
      </w:r>
    </w:p>
    <w:p>
      <w:pPr>
        <w:spacing w:after="0" w:line="18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To be timely, a Nominating Shareholder’s notice must be made: (i) in the case of an annual meeting of shareholders (including an annual and special meeting), not less than 30 days prior to the date of the annual meeting of shareholders, provided, however, that in the event that the annual meeting of shareholders is to be held on a date that is less than 50 days after the date on which the first public announcement of the meeting was made, notice by the Nominating Shareholder may be made not later than the close of business on the 10th day following the date of such first public announcement; and (ii) in the case of a special meeting of shareholders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(which is not also an annual meeting) called for the purpose of electing directors (whether or not called for other purposes as well), not later than the close of business on the 15th day following the day on which the first public announcement of the date of the special meeting of shareholders was made. The articles also prescribe the proper written form for a Nominating Shareholder’s notice.</w:t>
      </w:r>
    </w:p>
    <w:p>
      <w:pPr>
        <w:spacing w:after="0" w:line="176"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The chair of the meeting shall have the power and duty to determine whether a nomination was made in accordance with the notice procedures set forth in the articles and, if any proposed nomination is not in compliance with such provisions, the discretion to declare that such defective nomination will be disregarded.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foregoing, the Board of Directors may, in their sole discretion, waive any requirement in the Advance Notice Policy.</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specified in an accompanying prospectus supplement.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540" w:hanging="331"/>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80" w:hanging="331"/>
        <w:spacing w:after="0" w:line="261"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81" w:lineRule="exact"/>
        <w:rPr>
          <w:rFonts w:ascii="Times New Roman" w:cs="Times New Roman" w:eastAsia="Times New Roman" w:hAnsi="Times New Roman"/>
          <w:sz w:val="18"/>
          <w:szCs w:val="18"/>
          <w:color w:val="auto"/>
        </w:rPr>
      </w:pPr>
    </w:p>
    <w:p>
      <w:pPr>
        <w:ind w:left="1540" w:right="260" w:hanging="331"/>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540" w:right="80" w:hanging="331"/>
        <w:spacing w:after="0" w:line="266"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540" w:right="200" w:hanging="331"/>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540" w:right="560" w:hanging="331"/>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540" w:right="140" w:hanging="331"/>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540" w:hanging="331"/>
        <w:spacing w:after="0" w:line="312" w:lineRule="auto"/>
        <w:tabs>
          <w:tab w:leader="none" w:pos="15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45" w:lineRule="exact"/>
        <w:rPr>
          <w:rFonts w:ascii="Times New Roman" w:cs="Times New Roman" w:eastAsia="Times New Roman" w:hAnsi="Times New Roman"/>
          <w:sz w:val="17"/>
          <w:szCs w:val="17"/>
          <w:color w:val="auto"/>
        </w:rPr>
      </w:pPr>
    </w:p>
    <w:p>
      <w:pPr>
        <w:ind w:left="1540" w:right="400" w:hanging="331"/>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540" w:right="60" w:hanging="331"/>
        <w:spacing w:after="0" w:line="266"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ind w:left="1540" w:right="40" w:hanging="331"/>
        <w:spacing w:after="0" w:line="266"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540" w:hanging="331"/>
        <w:spacing w:after="0" w:line="266"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81" w:lineRule="exact"/>
        <w:rPr>
          <w:rFonts w:ascii="Times New Roman" w:cs="Times New Roman" w:eastAsia="Times New Roman" w:hAnsi="Times New Roman"/>
          <w:sz w:val="18"/>
          <w:szCs w:val="18"/>
          <w:color w:val="auto"/>
        </w:rPr>
      </w:pPr>
    </w:p>
    <w:p>
      <w:pPr>
        <w:ind w:left="1540" w:right="540" w:hanging="331"/>
        <w:spacing w:after="0" w:line="282" w:lineRule="auto"/>
        <w:tabs>
          <w:tab w:leader="none" w:pos="1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5540" w:right="120" w:hanging="4331"/>
        <w:spacing w:after="0" w:line="454" w:lineRule="auto"/>
        <w:tabs>
          <w:tab w:leader="none" w:pos="153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 14</w:t>
      </w:r>
    </w:p>
    <w:p>
      <w:pPr>
        <w:sectPr>
          <w:pgSz w:w="11900" w:h="16838" w:orient="portrait"/>
          <w:cols w:equalWidth="0" w:num="1">
            <w:col w:w="11120"/>
          </w:cols>
          <w:pgMar w:left="320" w:top="455" w:right="45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line="266"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540" w:right="1040" w:hanging="331"/>
        <w:spacing w:after="0" w:line="282" w:lineRule="auto"/>
        <w:tabs>
          <w:tab w:leader="none" w:pos="1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Certificated Debt Securities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6"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Global Debt Securities and Book-Entry System</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Each global debt security representing book-entry debt securities will be deposited with, or on behalf of, the depositary, and registered in the name of the depositary or a nominee of the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55"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which we refer to as a successor person, unless:</w:t>
      </w:r>
    </w:p>
    <w:p>
      <w:pPr>
        <w:spacing w:after="0" w:line="67" w:lineRule="exact"/>
        <w:rPr>
          <w:sz w:val="20"/>
          <w:szCs w:val="20"/>
          <w:color w:val="auto"/>
        </w:rPr>
      </w:pPr>
    </w:p>
    <w:p>
      <w:pPr>
        <w:ind w:left="1540" w:right="160" w:hanging="331"/>
        <w:spacing w:after="0" w:line="282" w:lineRule="auto"/>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us) is a corporation organized and validly existing under the laws of the applicable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jc w:val="both"/>
        <w:ind w:left="1540" w:right="300" w:hanging="331"/>
        <w:spacing w:after="0" w:line="266"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540" w:hanging="331"/>
        <w:spacing w:after="0" w:line="281" w:lineRule="auto"/>
        <w:tabs>
          <w:tab w:leader="none" w:pos="15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p>
      <w:pPr>
        <w:spacing w:after="0" w:line="69" w:lineRule="exact"/>
        <w:rPr>
          <w:rFonts w:ascii="Times New Roman" w:cs="Times New Roman" w:eastAsia="Times New Roman" w:hAnsi="Times New Roman"/>
          <w:sz w:val="17"/>
          <w:szCs w:val="17"/>
          <w:color w:val="auto"/>
        </w:rPr>
      </w:pPr>
    </w:p>
    <w:p>
      <w:pPr>
        <w:ind w:left="1540" w:hanging="331"/>
        <w:spacing w:after="0"/>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us; and</w:t>
      </w:r>
    </w:p>
    <w:p>
      <w:pPr>
        <w:spacing w:after="0" w:line="130" w:lineRule="exact"/>
        <w:rPr>
          <w:rFonts w:ascii="Times New Roman" w:cs="Times New Roman" w:eastAsia="Times New Roman" w:hAnsi="Times New Roman"/>
          <w:sz w:val="18"/>
          <w:szCs w:val="18"/>
          <w:color w:val="auto"/>
        </w:rPr>
      </w:pPr>
    </w:p>
    <w:p>
      <w:pPr>
        <w:ind w:left="1540" w:right="560" w:hanging="331"/>
        <w:spacing w:after="0" w:line="282" w:lineRule="auto"/>
        <w:tabs>
          <w:tab w:leader="none" w:pos="1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162" w:lineRule="exact"/>
        <w:rPr>
          <w:sz w:val="20"/>
          <w:szCs w:val="20"/>
          <w:color w:val="auto"/>
        </w:rPr>
      </w:pPr>
    </w:p>
    <w:p>
      <w:pPr>
        <w:ind w:left="120" w:right="6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spacing w:after="0" w:line="158"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90"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540" w:right="200" w:hanging="331"/>
        <w:spacing w:after="0" w:line="282" w:lineRule="auto"/>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540" w:right="140" w:hanging="331"/>
        <w:spacing w:after="0" w:line="261" w:lineRule="auto"/>
        <w:tabs>
          <w:tab w:leader="none" w:pos="1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540" w:hanging="331"/>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82"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67" w:lineRule="exact"/>
        <w:rPr>
          <w:rFonts w:ascii="Times New Roman" w:cs="Times New Roman" w:eastAsia="Times New Roman" w:hAnsi="Times New Roman"/>
          <w:sz w:val="18"/>
          <w:szCs w:val="18"/>
          <w:color w:val="auto"/>
        </w:rPr>
      </w:pPr>
    </w:p>
    <w:p>
      <w:pPr>
        <w:ind w:left="1540" w:right="340" w:hanging="331"/>
        <w:spacing w:after="0" w:line="282"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540" w:right="300" w:hanging="331"/>
        <w:spacing w:after="0" w:line="282" w:lineRule="auto"/>
        <w:tabs>
          <w:tab w:leader="none" w:pos="1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 (the “Indenture Act”).</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540" w:hanging="331"/>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540" w:hanging="331"/>
        <w:spacing w:after="0" w:line="282" w:lineRule="auto"/>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jc w:val="both"/>
        <w:ind w:left="1540" w:right="20" w:hanging="331"/>
        <w:spacing w:after="0" w:line="266" w:lineRule="auto"/>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540" w:right="360" w:hanging="331"/>
        <w:spacing w:after="0" w:line="266" w:lineRule="auto"/>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291" w:lineRule="exact"/>
        <w:rPr>
          <w:sz w:val="20"/>
          <w:szCs w:val="20"/>
          <w:color w:val="auto"/>
        </w:rPr>
      </w:pPr>
    </w:p>
    <w:p>
      <w:pPr>
        <w:ind w:left="120" w:right="49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Defeasance of Debt Securities and Certain Covenants in Certain Circumstances </w:t>
      </w:r>
      <w:r>
        <w:rPr>
          <w:rFonts w:ascii="Times New Roman" w:cs="Times New Roman" w:eastAsia="Times New Roman" w:hAnsi="Times New Roman"/>
          <w:sz w:val="18"/>
          <w:szCs w:val="18"/>
          <w:i w:val="1"/>
          <w:iCs w:val="1"/>
          <w:color w:val="auto"/>
        </w:rPr>
        <w:t>Legal Defeasance</w:t>
      </w:r>
    </w:p>
    <w:p>
      <w:pPr>
        <w:spacing w:after="0" w:line="2"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9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indenture provides that, unless otherwise provided by the terms of the applicable series of debt securities, upon compliance with certain conditions:</w:t>
      </w:r>
    </w:p>
    <w:p>
      <w:pPr>
        <w:spacing w:after="0" w:line="131" w:lineRule="exact"/>
        <w:rPr>
          <w:sz w:val="20"/>
          <w:szCs w:val="20"/>
          <w:color w:val="auto"/>
        </w:rPr>
      </w:pPr>
    </w:p>
    <w:p>
      <w:pPr>
        <w:ind w:left="1540" w:right="40" w:hanging="331"/>
        <w:spacing w:after="0" w:line="266" w:lineRule="auto"/>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540" w:right="160" w:hanging="331"/>
        <w:spacing w:after="0" w:line="282" w:lineRule="auto"/>
        <w:tabs>
          <w:tab w:leader="none" w:pos="15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refer to this as covenant defeasance. The conditions include:</w:t>
      </w:r>
    </w:p>
    <w:p>
      <w:pPr>
        <w:spacing w:after="0" w:line="131" w:lineRule="exact"/>
        <w:rPr>
          <w:sz w:val="20"/>
          <w:szCs w:val="20"/>
          <w:color w:val="auto"/>
        </w:rPr>
      </w:pPr>
    </w:p>
    <w:p>
      <w:pPr>
        <w:ind w:left="1540" w:right="260" w:hanging="331"/>
        <w:spacing w:after="0" w:line="261" w:lineRule="auto"/>
        <w:tabs>
          <w:tab w:leader="none" w:pos="15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100"/>
        <w:spacing w:after="0" w:line="266" w:lineRule="auto"/>
        <w:rPr>
          <w:sz w:val="20"/>
          <w:szCs w:val="20"/>
          <w:color w:val="auto"/>
        </w:rPr>
      </w:pPr>
      <w:r>
        <w:rPr>
          <w:rFonts w:ascii="Times New Roman" w:cs="Times New Roman" w:eastAsia="Times New Roman" w:hAnsi="Times New Roman"/>
          <w:sz w:val="18"/>
          <w:szCs w:val="18"/>
          <w:color w:val="auto"/>
        </w:rPr>
        <w:t>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spacing w:after="0" w:line="81" w:lineRule="exact"/>
        <w:rPr>
          <w:sz w:val="20"/>
          <w:szCs w:val="20"/>
          <w:color w:val="auto"/>
        </w:rPr>
      </w:pPr>
    </w:p>
    <w:p>
      <w:pPr>
        <w:ind w:left="1540" w:hanging="331"/>
        <w:spacing w:after="0" w:line="282"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deposit will not result in a breach or violation of, or constitute a default under the indenture or any other agreement to which we are a party;</w:t>
      </w:r>
    </w:p>
    <w:p>
      <w:pPr>
        <w:spacing w:after="0" w:line="67" w:lineRule="exact"/>
        <w:rPr>
          <w:rFonts w:ascii="Times New Roman" w:cs="Times New Roman" w:eastAsia="Times New Roman" w:hAnsi="Times New Roman"/>
          <w:sz w:val="18"/>
          <w:szCs w:val="18"/>
          <w:color w:val="auto"/>
        </w:rPr>
      </w:pPr>
    </w:p>
    <w:p>
      <w:pPr>
        <w:ind w:left="1540" w:right="40" w:hanging="331"/>
        <w:spacing w:after="0" w:line="282"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applicable series of debt securities shall have occurred or is continuing on the date of such deposit; and</w:t>
      </w:r>
    </w:p>
    <w:p>
      <w:pPr>
        <w:spacing w:after="0" w:line="67" w:lineRule="exact"/>
        <w:rPr>
          <w:rFonts w:ascii="Times New Roman" w:cs="Times New Roman" w:eastAsia="Times New Roman" w:hAnsi="Times New Roman"/>
          <w:sz w:val="18"/>
          <w:szCs w:val="18"/>
          <w:color w:val="auto"/>
        </w:rPr>
      </w:pPr>
    </w:p>
    <w:p>
      <w:pPr>
        <w:ind w:left="1540" w:hanging="331"/>
        <w:spacing w:after="0" w:line="256" w:lineRule="auto"/>
        <w:tabs>
          <w:tab w:leader="none" w:pos="15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Shareholders</w:t>
      </w:r>
    </w:p>
    <w:p>
      <w:pPr>
        <w:spacing w:after="0" w:line="121"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shareholders,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securities, will be governed by the laws of the State of New York.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This section describes the general terms that will apply to any warrants we may issue. We will not offer warrants for sale separately to any member of the public in Canada unless the offering is in connection with and forms part of the consideration for an acquisition or merger transaction or unless the applicable prospectus supplement containing the specific terms of the warrants to be offered separately is first approved for filing by the securities commissions or similar regulatory authorities in each of the provinces and territories of Canada where the warrants will be offered for sale.</w:t>
      </w:r>
    </w:p>
    <w:p>
      <w:pPr>
        <w:spacing w:after="0" w:line="180"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Subject to the foregoing, we may issue warrants independently or together with other securities, and warrants sold with other securities may be attached to or separate from the other securities. Warrants will be issued under one or more warrant indentures or warrant agency agreements to be entered into by us and one or more banks or trust companies acting as warrant agent.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summary of some of the provisions of the warrants is not complete. The statements made in this prospectus relating to any warrant agreement and warrants to be issued under this prospectus are summaries of certain anticipated provisions thereof and do not purport to be complete and are subject to, and are qualified in their entirety by reference to, all provisions of the applicable warrant agreement. You should refer to the warrant indenture or warrant agency agreement relating to the specific warrants being offered for the complete terms of the warrants. A copy of any warrant indenture or warrant agency agreement relating to an offering or warrants will be filed by us with the securities regulatory authorities in Canada and the United States after we have entered into it.</w:t>
      </w:r>
    </w:p>
    <w:p>
      <w:pPr>
        <w:spacing w:after="0" w:line="187"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The applicable prospectus supplement relating to any warrants that we offer will describe the particular terms of those warrants and include specific terms relating to the offering.</w:t>
      </w:r>
    </w:p>
    <w:p>
      <w:pPr>
        <w:spacing w:after="0" w:line="162"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 xml:space="preserve">Original purchasers of warrants (if offered separately) will have a contractual right of rescission against us in respect of the exercise of such warrant. The contractual right of rescission will entitle such original purchasers to receive, upon surrender of the underlying securities acquired upon exercise of the warrant, the total of the amount paid on original purchase of the warrant and the amount paid upon exercise, in the event that this prospectus (as supplemented or amended) contains a misrepresentation, provided that: (i) the exercise takes place within 180 days of the date of the purchase of the warrant under the applicable prospectus supplement; and (ii) the right of rescission is exercised within 180 days of the date of purchase of the warrant under the applicable prospectus supplement. This contractual right of rescission will be consistent with the statutory right of rescission described under section 131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(British Columbia), and is in addition to any other right or remedy available to original purchasers under section 131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(British Columbia) or otherwise at law.</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Warrants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equity warrants will be described in the applicable prospectus supplement. This description will include, where applicable:</w:t>
      </w:r>
    </w:p>
    <w:p>
      <w:pPr>
        <w:spacing w:after="0" w:line="67" w:lineRule="exact"/>
        <w:rPr>
          <w:sz w:val="20"/>
          <w:szCs w:val="20"/>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equity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equity warrants will be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equity warrants will be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equity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common shares or preferred shares that may be purchased upon exercise of each equity warrant and the price at which and currency or currencies in which the common shares or preferred shares may be purchased upon exercise of each equity warrant;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provisions allowing or providing for adjustments in (i) the number and/or class of shares that may be purchased, (ii) the exercise price per share or (iii) the expiry of the equity warrants;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issue fractional shares;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applied to list the equity warrants or the underlying shares on a stock exchange;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equity warrants will be offered, if any, and the number of the equity warrants that will be offered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equity warrants and the related securities will be transferable separately;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equity warrants will be subject to redemption and, if so, the terms of such redemption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U.S. and Canadian federal income tax consequences of owning the equity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equity warrants.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Debt Warrants</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particular terms of each issue of debt warrants will be described in the related prospectus supplement. This description will include, where applicable:</w:t>
      </w:r>
    </w:p>
    <w:p>
      <w:pPr>
        <w:spacing w:after="0" w:line="67" w:lineRule="exact"/>
        <w:rPr>
          <w:sz w:val="20"/>
          <w:szCs w:val="20"/>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aggregate number of debt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warrants will be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warrants will be offered;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any securities with which the debt warrants are being offered, if any, and the number of the debt warrants that will be offered with each security;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if any, on or after which the debt warrants and the related securities will be transferable separately;</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each debt warrant and the price at which and currency or currencies in which that principal amount of debt securities may be purchased upon exercise of each debt warrant;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debt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or maximum amount of debt warrants that may be exercised at any one time;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warrants will be subject to redemption, and, if so, the terms of such redemption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U.S. and Canadian federal income tax consequences of owning the debt warrants;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or conditions of the debt warrants.</w:t>
      </w:r>
    </w:p>
    <w:p>
      <w:pPr>
        <w:spacing w:after="0" w:line="225" w:lineRule="exact"/>
        <w:rPr>
          <w:sz w:val="20"/>
          <w:szCs w:val="20"/>
          <w:color w:val="auto"/>
        </w:rPr>
      </w:pPr>
    </w:p>
    <w:p>
      <w:pPr>
        <w:ind w:left="5540" w:right="920" w:hanging="5417"/>
        <w:spacing w:after="0" w:line="454" w:lineRule="auto"/>
        <w:rPr>
          <w:sz w:val="20"/>
          <w:szCs w:val="20"/>
          <w:color w:val="auto"/>
        </w:rPr>
      </w:pPr>
      <w:r>
        <w:rPr>
          <w:rFonts w:ascii="Times New Roman" w:cs="Times New Roman" w:eastAsia="Times New Roman" w:hAnsi="Times New Roman"/>
          <w:sz w:val="18"/>
          <w:szCs w:val="18"/>
          <w:color w:val="auto"/>
        </w:rPr>
        <w:t>Prior to the exercise of their warrants, holders of warrants will not have any of the rights of holders of the securities subject to the warrants. 22</w:t>
      </w:r>
    </w:p>
    <w:p>
      <w:pPr>
        <w:sectPr>
          <w:pgSz w:w="11900" w:h="16838" w:orient="portrait"/>
          <w:cols w:equalWidth="0" w:num="1">
            <w:col w:w="11060"/>
          </w:cols>
          <w:pgMar w:left="320" w:top="455" w:right="5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SUBSCRIPTION RECEIPTS</w:t>
      </w:r>
    </w:p>
    <w:p>
      <w:pPr>
        <w:spacing w:after="0" w:line="229" w:lineRule="exact"/>
        <w:rPr>
          <w:sz w:val="20"/>
          <w:szCs w:val="20"/>
          <w:color w:val="auto"/>
        </w:rPr>
      </w:pPr>
    </w:p>
    <w:p>
      <w:pPr>
        <w:ind w:left="120" w:right="380"/>
        <w:spacing w:after="0" w:line="266" w:lineRule="auto"/>
        <w:rPr>
          <w:sz w:val="20"/>
          <w:szCs w:val="20"/>
          <w:color w:val="auto"/>
        </w:rPr>
      </w:pPr>
      <w:r>
        <w:rPr>
          <w:rFonts w:ascii="Times New Roman" w:cs="Times New Roman" w:eastAsia="Times New Roman" w:hAnsi="Times New Roman"/>
          <w:sz w:val="18"/>
          <w:szCs w:val="18"/>
          <w:color w:val="auto"/>
        </w:rPr>
        <w:t>We may issue subscription receipts that are exchangeable for our equity securities and/or other securities. The particular terms and provisions of subscription receipts offered by any prospectus supplement, and the extent to which the general terms and provisions described below may apply to them, will be described in the applicable prospectus supplement. This description will include, without limitation, where applicable:</w:t>
      </w:r>
    </w:p>
    <w:p>
      <w:pPr>
        <w:spacing w:after="0" w:line="81" w:lineRule="exact"/>
        <w:rPr>
          <w:sz w:val="20"/>
          <w:szCs w:val="20"/>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receipts;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subscription receipts will be offered;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conditions and procedures for the exchange of the subscription receipts into or for our equity securities and/or other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our equity securities and/or other securities that may be issued or delivered upon exchange of each subscription receipt;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subscription receipts will be issued in fully registered or global form.</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Our equity securities and/or other securities issued or delivered upon the exchange of subscription receipts will be issued for no additional consideration.</w:t>
      </w:r>
    </w:p>
    <w:p>
      <w:pPr>
        <w:spacing w:after="0" w:line="237"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Original purchasers of subscription receipts will have a contractual right of rescission against us in respect of the conversion of the subscription receipt. The contractual right of rescission will entitle such original purchasers to receive the amount paid on original purchase of the subscription receipt upon surrender of the underlying securities gained thereby, in the event that this prospectus (as supplemented or amended) contains a misrepresentation, provided that: (i) the conversion takes place within 180 days of the date of the purchase of the subscription receipt under this prospectus; and (ii) the right of rescission is exercised within 180 days of the date of purchase of the subscription receipt under this prospectus. This contractual right of rescission will be consistent with the statutory right of rescission described under section 131 of the Securities Act (British Columbia), and is in addition to any other right or remedy available to original purchasers under section 131 of the Securities Act (British Columbia) or otherwise at law.</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description sets forth certain general terms and provisions of units to which any prospectus supplement may relate.</w:t>
      </w:r>
    </w:p>
    <w:p>
      <w:pPr>
        <w:spacing w:after="0" w:line="225"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may issue units comprised of one or more of the other securities described in this prospectus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if any, may provide that the securities included in the unit may not be held or transferred separately, at any time or at any time before a specified date. A copy of the forms of the unit agreement and the unit certificate, if any,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of this prospectus captioned “Where You Can Find More Information.”</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applicable prospectus supplement may describe:</w:t>
      </w:r>
    </w:p>
    <w:p>
      <w:pPr>
        <w:spacing w:after="0" w:line="131" w:lineRule="exact"/>
        <w:rPr>
          <w:sz w:val="20"/>
          <w:szCs w:val="20"/>
          <w:color w:val="auto"/>
        </w:rPr>
      </w:pPr>
    </w:p>
    <w:p>
      <w:pPr>
        <w:ind w:left="1080" w:right="300" w:hanging="424"/>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units and of the securities comprising the units, including whether and under what circumstances those securities may be held or transferred separately;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the issuance, payment, settlement, transfer or exchange of the units or of the securities comprising the units; and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units will be issued in fully registered or global form.</w:t>
      </w:r>
    </w:p>
    <w:p>
      <w:pPr>
        <w:spacing w:after="0" w:line="225" w:lineRule="exact"/>
        <w:rPr>
          <w:sz w:val="20"/>
          <w:szCs w:val="20"/>
          <w:color w:val="auto"/>
        </w:rPr>
      </w:pPr>
    </w:p>
    <w:p>
      <w:pPr>
        <w:ind w:left="120" w:right="4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describe the terms of any units. The preceding description and any description of units in the applicable prospectus supplement does not purport to be complete and is subject to and is qualified in its entirety by reference to the unit agreement and, if applicable, collateral arrangements and depositary arrangements relating to such units.</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229"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Information about selling securityholders, where applicable, will be set forth in a prospectus supplement, in a post-effective amendment or in filings we make with the SEC under the Exchange Act which are incorporated by reference into this prospectus.</w:t>
      </w:r>
    </w:p>
    <w:p>
      <w:pPr>
        <w:spacing w:after="0" w:line="3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or any selling securityholders may sell the securities offered by this prospectus for cash or other consideration (i) to or through underwriters, dealers, placement agents or other intermediaries, (ii) directly to one or more purchasers or (iii) in connection with acquisitions of assets or shares or another entity or company.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prospectus supplement with respect to our securities being offered will set forth the terms of the offering, including:</w:t>
      </w:r>
    </w:p>
    <w:p>
      <w:pPr>
        <w:spacing w:after="0" w:line="131" w:lineRule="exact"/>
        <w:rPr>
          <w:sz w:val="20"/>
          <w:szCs w:val="20"/>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other placement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names of any selling securityholders;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the purchase price of, and form of consideration for, the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to the Company from such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fees, discounts and other items constituting underwriters’, dealers’ or agents’ compensation;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items constituting underwriting compensation;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exchanges on which the securities will be listed.</w:t>
      </w:r>
    </w:p>
    <w:p>
      <w:pPr>
        <w:spacing w:after="0" w:line="225"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securities may be sold, from time to time, in one or more transactions at a fixed price or prices which may be changed or at market prices prevailing at the time of sale, at prices related to such prevailing market prices or at negotiated prices, including sales in transactions that are deemed to be “at-the-market distributions” in accordance with Rule 415(a)(4) under the Securities Act, including sales made directly on the NYSE or other existing trading markets for the securities. The prices at which the securities may be offered may vary as between purchasers and during the period of distribution. If, in connection with the offering of securities at a fixed price or prices, the underwriters have made a bona fide effort to sell all of the securities at the initial offering price fixed in the applicable prospectus supplement, the public offering price may be decreased and thereafter further changed, from time to time, to an amount not greater than the initial offering price fixed in such prospectus supplement, in which case the compensation realized by the underwriters will be decreased by the amount that the aggregate price paid by purchasers for the securities is less than the gross proceeds paid by the underwriters to us.</w:t>
      </w:r>
    </w:p>
    <w:p>
      <w:pPr>
        <w:spacing w:after="0" w:line="188"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Only underwriters named in the prospectus supplement are deemed to be underwriters in connection with our securities offered by that prospectus supplement.</w:t>
      </w:r>
    </w:p>
    <w:p>
      <w:pPr>
        <w:spacing w:after="0" w:line="162"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may agree to pay the underwriters or agents a commission for various services relating to the issue and sale of any securities offered hereby. Where we pay such commission, it will be paid out of the general corporate funds of the Company.</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Underwriters, dealers and agents who participate in the distribution of the securities may be entitled to, under agreements to be entered into with us, indemnification by us against certain liabilities, including liabilities under the Securities Act, and Canadian securities legislation, or to contribution with respect to payments which such underwriters, dealers or agents may be required to make in respect thereof. Such underwriters, dealers and agents may be customers of, engage in transactions with, or perform services for, us in the ordinary course of business.</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No underwriter or dealer involved in an “at-the-market distribution,” no affiliate of such underwriter or dealer and no person acting jointly or in concert with such underwriter or dealer has over-allotted, or will over-allot, our securities in connection with an offering of the securities or effect any other transactions that are intended to stabilize the market price of our securities.</w:t>
      </w:r>
    </w:p>
    <w:p>
      <w:pPr>
        <w:spacing w:after="0" w:line="176"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In connection with any offering of securities, other than an “at-the-market distribution,” the underwriters may over-allot or effect transactions which stabilize or maintain the market price of the securities offered at a level above that which might otherwise prevail in the open market. Such transactions, if commenced, may be discontinued at any time.</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two business days, unless the parties to any such trade expressly agree otherwise. The applicable prospectus supplement may provide that the original issue date for your securities may be more than two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39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CANADIAN AND U.S. FEDERAL INCOME TAX CONSIDERATIONS</w:t>
      </w:r>
    </w:p>
    <w:p>
      <w:pPr>
        <w:spacing w:after="0" w:line="229"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Information regarding material Canadian and U.S. federal income tax consequences to persons investing in the securities offered by this prospectus will be set forth in an applicable prospectus supplement. You should consult your own tax advisors prior to any acquisition of our securities.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60"/>
          </w:cols>
          <w:pgMar w:left="320" w:top="455" w:right="5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on behalf of the Company by Blake, Cassels &amp; Graydon LLP with respect to Canadian legal matters, and by Wilson Sonsini Goodrich &amp; Rosati, P.C. with respect to U.S. legal matters. Additional legal matters may be passed on for us, or any underwriters, dealers or agents by counsel we will name in the applicable prospectus supplement.</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AUDITORS, TRANSFER AGENT AND REGISTRAR</w:t>
      </w:r>
    </w:p>
    <w:p>
      <w:pPr>
        <w:spacing w:after="0" w:line="22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KPMG LLP was reappointed as our auditor at our annual meeting of shareholders held on May 5, 2021. KPMG LLP is located at 900 – 777 Dunsmuir Street, P.O. Box 10426 Pacific Centre, Vancouver, British Columbia, Canada, V7Y 1K3. KPMG LLP has reported on our 2020, 2019 and 2018 audited consolidated financial statements, which have been filed with the securities regulatory authorities and incorporated by reference herein. KPMG LLP are the auditors of the Company and have confirmed with respect to the Company that they are independent within the meaning of the relevant rules and related interpretations prescribed by the relevant professional bodies in Canada and any applicable legislation or regulations.</w:t>
      </w:r>
    </w:p>
    <w:p>
      <w:pPr>
        <w:spacing w:after="0" w:line="183"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Our transfer agent and the registrar for our common shares in Canada is Computershare Investor Services Inc. located at 100 University Avenue, 8th Floor, Toronto, Ontario, Canada, M5J 2Y1 and, in the United States is Computershare Trust Company, N.A. located at 1011-250 Royall Street, Canton, Massachusetts, USA 02021.</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INTEREST OF EXPERTS</w:t>
      </w:r>
    </w:p>
    <w:p>
      <w:pPr>
        <w:spacing w:after="0" w:line="229"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Zymeworks as of December 31, 2020 and 2019, and for each of the years in the three-year period ended December 31, 2020, and management’s assessment of the effectiveness of internal control over financial reporting as of December 31, 2020 have been incorporated by reference herein in reliance upon the report of KPMG LLP, independent registered public accounting firm, incorporated by reference herein, and upon the authority of said firm as experts in accounting and auditing.</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 xml:space="preserve">The audit report covering the consolidated financial statements as of December 31, 2020 and 2019 and for each of the years in the three-year period ended December 31, 2020, refers to a change in our accounting policies as of January 1, 2019 due to the adoption of ASC 842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SEC allows us to “incorporate by reference” information we file with the SEC. This means that we can disclose important information to you by referring you to those documents. Any information we reference in this manner is considered part of this prospectus, except for any information superseded by information contained directly in this prospectus, any accompanying prospectus supplement or any subsequently filed document deemed to be incorporated by reference. Copies of the documents incorporated by reference in this prospectus may be obtained on written or oral request without charge from the Secretary of the Company at 1385 West 8th Avenue, Suite 540, Vancouver, British Columbia, Canada V6H 3V9. Copies of documents incorporated by reference in this prospectus may also be requested by telephone at 604-678-1388. We file annual, quarterly and current reports, proxy statements and other information with the SEC. The SEC maintains an internet site that contains reports, proxy and information statements, and other information regarding issuers that file electronically with the SEC, where our SEC filings are also available. The address of the SEC’s website is http://www.sec.gov. We maintain a website at http://www.zymeworks.com. The references to our website in this prospectus or the documents incorporated by reference herein are inactive textual references only and information contained in or accessible through our website does not constitute a part of this prospectus.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incorporate by reference the documents listed below and future filings we make with the SEC pursuant to Sections 13(a), 13(c), 14 or 15(d) of the Exchange Act (excluding, unless otherwise provided therein or herein, documents not deemed “filed” with the SEC and information furnished pursuant to Item 2.02 and Item 7.01 on any Current Report on Form 8-K or certain exhibits furnished pursuant to Item 9.01 of Form 8-K) after the date of the initial filing of this registration statement on Form S-3 to which this prospectus relates until the termination of any offering under this prospectus or such time as all securities offered by this prospectus have been sold and all conditions to the consummation of such sales have been satisfied.</w:t>
      </w:r>
    </w:p>
    <w:p>
      <w:pPr>
        <w:spacing w:after="0" w:line="89" w:lineRule="exact"/>
        <w:rPr>
          <w:sz w:val="20"/>
          <w:szCs w:val="20"/>
          <w:color w:val="auto"/>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w:t>
      </w:r>
      <w:hyperlink r:id="rId15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2020, filed with the SEC on February 24, 2021;</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76"/>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quarterly reports on Form 10-Q for the quarterly periods ended March 31, 2021 and June 30, 2021, filed with the SEC on </w:t>
      </w:r>
      <w:hyperlink r:id="rId160">
        <w:r>
          <w:rPr>
            <w:rFonts w:ascii="Times New Roman" w:cs="Times New Roman" w:eastAsia="Times New Roman" w:hAnsi="Times New Roman"/>
            <w:sz w:val="18"/>
            <w:szCs w:val="18"/>
            <w:u w:val="single" w:color="auto"/>
            <w:color w:val="0000EE"/>
          </w:rPr>
          <w:t>May 5,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1">
        <w:r>
          <w:rPr>
            <w:rFonts w:ascii="Times New Roman" w:cs="Times New Roman" w:eastAsia="Times New Roman" w:hAnsi="Times New Roman"/>
            <w:sz w:val="18"/>
            <w:szCs w:val="18"/>
            <w:u w:val="single" w:color="auto"/>
            <w:color w:val="0000EE"/>
          </w:rPr>
          <w:t>August 4,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1080" w:hanging="532"/>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with the SEC on </w:t>
      </w:r>
      <w:hyperlink r:id="rId162">
        <w:r>
          <w:rPr>
            <w:rFonts w:ascii="Times New Roman" w:cs="Times New Roman" w:eastAsia="Times New Roman" w:hAnsi="Times New Roman"/>
            <w:sz w:val="18"/>
            <w:szCs w:val="18"/>
            <w:u w:val="single" w:color="auto"/>
            <w:color w:val="0000EE"/>
          </w:rPr>
          <w:t>April 19, 2021</w:t>
        </w:r>
      </w:hyperlink>
      <w:r>
        <w:rPr>
          <w:rFonts w:ascii="Times New Roman" w:cs="Times New Roman" w:eastAsia="Times New Roman" w:hAnsi="Times New Roman"/>
          <w:sz w:val="18"/>
          <w:szCs w:val="18"/>
          <w:color w:val="auto"/>
        </w:rPr>
        <w:t xml:space="preserve">, </w:t>
      </w:r>
      <w:hyperlink r:id="rId163">
        <w:r>
          <w:rPr>
            <w:rFonts w:ascii="Times New Roman" w:cs="Times New Roman" w:eastAsia="Times New Roman" w:hAnsi="Times New Roman"/>
            <w:sz w:val="18"/>
            <w:szCs w:val="18"/>
            <w:u w:val="single" w:color="auto"/>
            <w:color w:val="0000EE"/>
          </w:rPr>
          <w:t>May 6, 2021</w:t>
        </w:r>
      </w:hyperlink>
      <w:r>
        <w:rPr>
          <w:rFonts w:ascii="Times New Roman" w:cs="Times New Roman" w:eastAsia="Times New Roman" w:hAnsi="Times New Roman"/>
          <w:sz w:val="18"/>
          <w:szCs w:val="18"/>
          <w:color w:val="auto"/>
        </w:rPr>
        <w:t xml:space="preserve">, </w:t>
      </w:r>
      <w:hyperlink r:id="rId164">
        <w:r>
          <w:rPr>
            <w:rFonts w:ascii="Times New Roman" w:cs="Times New Roman" w:eastAsia="Times New Roman" w:hAnsi="Times New Roman"/>
            <w:sz w:val="18"/>
            <w:szCs w:val="18"/>
            <w:u w:val="single" w:color="auto"/>
            <w:color w:val="0000EE"/>
          </w:rPr>
          <w:t>May 18, 2021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65">
        <w:r>
          <w:rPr>
            <w:rFonts w:ascii="Times New Roman" w:cs="Times New Roman" w:eastAsia="Times New Roman" w:hAnsi="Times New Roman"/>
            <w:sz w:val="18"/>
            <w:szCs w:val="18"/>
            <w:u w:val="single" w:color="auto"/>
            <w:color w:val="0000EE"/>
          </w:rPr>
          <w:t>September 16, 2021</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Form 10-K for the fiscal year ended December 31, 2020 from our </w:t>
      </w:r>
      <w:hyperlink r:id="rId166">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auto"/>
        </w:rPr>
        <w:t>, filed with the SEC on March 23, 2021;</w:t>
      </w:r>
    </w:p>
    <w:p>
      <w:pPr>
        <w:spacing w:after="0" w:line="67" w:lineRule="exact"/>
        <w:rPr>
          <w:rFonts w:ascii="Times New Roman" w:cs="Times New Roman" w:eastAsia="Times New Roman" w:hAnsi="Times New Roman"/>
          <w:sz w:val="18"/>
          <w:szCs w:val="18"/>
          <w:color w:val="auto"/>
        </w:rPr>
      </w:pPr>
    </w:p>
    <w:p>
      <w:pPr>
        <w:ind w:left="1080" w:right="64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shares contained in our registration statement on </w:t>
      </w:r>
      <w:hyperlink r:id="rId167">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filed on April 24, 2017, including any amendments or reports filed for the purpose of updating such description; and</w:t>
      </w:r>
    </w:p>
    <w:p>
      <w:pPr>
        <w:spacing w:after="0" w:line="67"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filed by us with the SEC under Sections 13(a), 13(c), 14 or 15(d) of the Exchange Act, after December 31, 2020, but before the end of the offering of the securities made by this prospectus.</w:t>
      </w:r>
    </w:p>
    <w:p>
      <w:pPr>
        <w:spacing w:after="0" w:line="374"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rFonts w:ascii="Times New Roman" w:cs="Times New Roman" w:eastAsia="Times New Roman" w:hAnsi="Times New Roman"/>
          <w:sz w:val="18"/>
          <w:szCs w:val="18"/>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are required to file with the securities commission or authority in each of the provinces and territories of Canada annual and quarterly reports, material change reports and other information. You may read any document we file with or furnish to the securities commissions and authorities of the provinces and territories of Canada through SEDAR at https://www.sedar.com.</w:t>
      </w:r>
    </w:p>
    <w:p>
      <w:pPr>
        <w:spacing w:after="0" w:line="176" w:lineRule="exact"/>
        <w:rPr>
          <w:rFonts w:ascii="Times New Roman" w:cs="Times New Roman" w:eastAsia="Times New Roman" w:hAnsi="Times New Roman"/>
          <w:sz w:val="18"/>
          <w:szCs w:val="18"/>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3" w:lineRule="exact"/>
        <w:rPr>
          <w:rFonts w:ascii="Times New Roman" w:cs="Times New Roman" w:eastAsia="Times New Roman" w:hAnsi="Times New Roman"/>
          <w:sz w:val="18"/>
          <w:szCs w:val="18"/>
          <w:color w:val="auto"/>
        </w:rPr>
      </w:pPr>
    </w:p>
    <w:p>
      <w:pPr>
        <w:ind w:left="120" w:right="200"/>
        <w:spacing w:after="0" w:line="312" w:lineRule="auto"/>
        <w:rPr>
          <w:sz w:val="20"/>
          <w:szCs w:val="20"/>
          <w:color w:val="auto"/>
        </w:rPr>
      </w:pPr>
      <w:r>
        <w:rPr>
          <w:rFonts w:ascii="Times New Roman" w:cs="Times New Roman" w:eastAsia="Times New Roman" w:hAnsi="Times New Roman"/>
          <w:sz w:val="17"/>
          <w:szCs w:val="17"/>
          <w:color w:val="auto"/>
        </w:rPr>
        <w:t>We maintain a website at http://www.zymeworks.com. The references to our website in this prospectus or the documents incorporated by reference herein are inactive textual references only and information contained in or accessible through our website does not constitute a part of this prospectus.</w:t>
      </w:r>
    </w:p>
    <w:p>
      <w:pPr>
        <w:spacing w:after="0" w:line="140" w:lineRule="exact"/>
        <w:rPr>
          <w:rFonts w:ascii="Times New Roman" w:cs="Times New Roman" w:eastAsia="Times New Roman" w:hAnsi="Times New Roman"/>
          <w:sz w:val="18"/>
          <w:szCs w:val="18"/>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w:t>
      </w:r>
    </w:p>
    <w:p>
      <w:pPr>
        <w:spacing w:after="0" w:line="120"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by reference to the document to which it refers. You should read the actual documents for a more complete description of the relevant matters.</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9"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We are a corporation existing under the BCBCA. Some of our directors, officers and the experts named in this prospectus are residents of Canada or otherwise reside outside the United States, and all or a substantial portion of their assets may be, and a substantial portion our assets are, located outside the United States. We have appointed an agent for service of process in the United States, but it may be difficult for holders of common shares who reside in the United States to effect service within the United States upon those directors, officers and experts who are not residents of the United States. It may also be difficult for holders of common shares who reside in the United States to realize in the United States upon judgments of courts of the United States predicated upon our civil liability and the civil liability of our directors, officers and experts under the U.S. federal securities laws. We have been advised by our Canadian counsel, Blake, Cassels &amp; Graydon LLP, that a judgment of a U.S. court for a sum certain predicated solely upon civil liability under U.S. federal securities laws or the securities or ‘‘blue sky’’ laws of any state within the United States, would probably be enforceable in Canada if the U.S. court in which the judgment was obtained has a basis for jurisdiction in the matter that would be recognized by a Canadian court and: (1) the U.S. court rendering such judgment had jurisdiction over the judgment debtor, as recognized by the courts of the Province of British Columbia; (2) proper service of process in respect of the proceedings in which such judgment was obtained was made in accordance with applicable U.S. federal or state law; (3) such judgment was not obtained by fraud or in a manner contrary to natural justice and the enforcement thereof would not be inconsistent with public policy, as such terms are understood under the laws of the Province of British Columbia and the federal laws of Canada or contrary to any order or regulation under the Foreign Extraterritorial Measures Act (Canada), the United Nations Act (Canada) or the Special Economic Measures Act (Canada), or any order made by the Competition Tribunal under the Competition Act(Canada); (4) the enforcement of such judgment would not be contrary to the laws of general application limiting the enforcement of creditors’ rights, including bankruptcy, reorganization, winding-up, moratorium and similar laws, and does not constitute, directly or indirectly, the enforcement of foreign laws which a court in the Province of British Columbia would characterize as revenue, expropriatory or penal laws; (5) in an action to enforce a default judgment, the judgment does not contain a manifest error on its face; (6) the action to enforce such judgment is commenced within the appropriate limitation period under the laws of the Province of British Columbia and is commenced and maintained in accordance with the procedural requirements of British Columbia law; (7) interest payable on the debt securities is not characterized by a court in the Province of British Columbia as interest payable at a criminal rate within the meaning of Section 347 of the Criminal Code (Canada); and (8) the judgment does not conflict with another final and conclusive judgment in the same cause of action; except that a court in the Province of British Columbia may stay an action to enforce a foreign judgment if an appeal of a judgment is pending or time for appeal has not expired; and except that any court in the Province of British Columbia may give judgment only in Canadian dollars. We have also been advised by Blake, Cassels &amp; Graydon LLP, however, that there is substantial doubt whether an action could be brought in Canada in the first instance on the basis of liability predicated solely upon U.S. federal securities laws. See “Risk Factors.”</w:t>
      </w:r>
    </w:p>
    <w:p>
      <w:pPr>
        <w:spacing w:after="0" w:line="1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249555</wp:posOffset>
            </wp:positionV>
            <wp:extent cx="699516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300990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643890</wp:posOffset>
            </wp:positionV>
            <wp:extent cx="5186045" cy="18599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2">
                      <a:extLst>
                        <a:ext uri="{28A0092B-C50C-407E-A947-70E740481C1C}"/>
                      </a:extLst>
                    </a:blip>
                    <a:srcRect/>
                    <a:stretch>
                      <a:fillRect/>
                    </a:stretch>
                  </pic:blipFill>
                  <pic:spPr bwMode="auto">
                    <a:xfrm>
                      <a:off x="0" y="0"/>
                      <a:ext cx="5186045" cy="185991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Up to $150,000,000</w:t>
      </w:r>
    </w:p>
    <w:p>
      <w:pPr>
        <w:spacing w:after="0" w:line="22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881380</wp:posOffset>
            </wp:positionV>
            <wp:extent cx="1474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5"/>
          <w:szCs w:val="25"/>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147447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1061720</wp:posOffset>
            </wp:positionV>
            <wp:extent cx="1097280" cy="2146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109728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497205</wp:posOffset>
            </wp:positionV>
            <wp:extent cx="699516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type w:val="continuous"/>
        </w:sectPr>
      </w:pPr>
    </w:p>
    <w:bookmarkStart w:id="112" w:name="page113"/>
    <w:bookmarkEnd w:id="112"/>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(Form Type)</w:t>
      </w:r>
    </w:p>
    <w:p>
      <w:pPr>
        <w:spacing w:after="0" w:line="144"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b w:val="1"/>
          <w:bCs w:val="1"/>
          <w:color w:val="auto"/>
        </w:rPr>
        <w:t>ZYMEWORKS INC.</w:t>
      </w:r>
      <w:r>
        <w:rPr>
          <w:rFonts w:ascii="Times New Roman" w:cs="Times New Roman" w:eastAsia="Times New Roman" w:hAnsi="Times New Roman"/>
          <w:sz w:val="26"/>
          <w:szCs w:val="26"/>
          <w:b w:val="1"/>
          <w:bCs w:val="1"/>
          <w:color w:val="auto"/>
          <w:vertAlign w:val="superscript"/>
        </w:rPr>
        <w:t>(1)</w:t>
      </w:r>
    </w:p>
    <w:p>
      <w:pPr>
        <w:jc w:val="center"/>
        <w:ind w:right="3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50" w:lineRule="exact"/>
        <w:rPr>
          <w:sz w:val="20"/>
          <w:szCs w:val="20"/>
          <w:color w:val="auto"/>
        </w:rPr>
      </w:pPr>
    </w:p>
    <w:tbl>
      <w:tblPr>
        <w:tblLayout w:type="fixed"/>
        <w:tblInd w:w="14" w:type="dxa"/>
        <w:tblCellMar>
          <w:top w:w="0" w:type="dxa"/>
          <w:left w:w="0" w:type="dxa"/>
          <w:bottom w:w="0" w:type="dxa"/>
          <w:right w:w="0" w:type="dxa"/>
        </w:tblCellMar>
      </w:tblPr>
      <w:tr>
        <w:trPr>
          <w:trHeight w:val="142"/>
        </w:trPr>
        <w:tc>
          <w:tcPr>
            <w:tcW w:w="80" w:type="dxa"/>
            <w:vAlign w:val="bottom"/>
            <w:tcBorders>
              <w:right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right w:val="single" w:sz="8" w:color="auto"/>
            </w:tcBorders>
          </w:tcPr>
          <w:p>
            <w:pPr>
              <w:spacing w:after="0"/>
              <w:rPr>
                <w:sz w:val="12"/>
                <w:szCs w:val="12"/>
                <w:color w:val="auto"/>
              </w:rPr>
            </w:pPr>
          </w:p>
        </w:tc>
        <w:tc>
          <w:tcPr>
            <w:tcW w:w="700" w:type="dxa"/>
            <w:vAlign w:val="bottom"/>
            <w:tcBorders>
              <w:top w:val="single" w:sz="8" w:color="auto"/>
              <w:right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4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right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right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80" w:type="dxa"/>
            <w:vAlign w:val="bottom"/>
            <w:tcBorders>
              <w:top w:val="single" w:sz="8" w:color="auto"/>
              <w:right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Fee</w:t>
            </w:r>
          </w:p>
        </w:tc>
        <w:tc>
          <w:tcPr>
            <w:tcW w:w="40" w:type="dxa"/>
            <w:vAlign w:val="bottom"/>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Borders>
              <w:right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ind w:left="68"/>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0" w:type="dxa"/>
            <w:vAlign w:val="bottom"/>
            <w:tcBorders>
              <w:right w:val="single" w:sz="8" w:color="auto"/>
            </w:tcBorders>
            <w:gridSpan w:val="3"/>
          </w:tcPr>
          <w:p>
            <w:pPr>
              <w:jc w:val="center"/>
              <w:ind w:right="54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Security Class</w:t>
            </w:r>
          </w:p>
        </w:tc>
        <w:tc>
          <w:tcPr>
            <w:tcW w:w="180" w:type="dxa"/>
            <w:vAlign w:val="bottom"/>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40" w:type="dxa"/>
            <w:vAlign w:val="bottom"/>
          </w:tcPr>
          <w:p>
            <w:pPr>
              <w:spacing w:after="0"/>
              <w:rPr>
                <w:sz w:val="11"/>
                <w:szCs w:val="11"/>
                <w:color w:val="auto"/>
              </w:rPr>
            </w:pPr>
          </w:p>
        </w:tc>
        <w:tc>
          <w:tcPr>
            <w:tcW w:w="820" w:type="dxa"/>
            <w:vAlign w:val="bottom"/>
            <w:tcBorders>
              <w:right w:val="single" w:sz="8" w:color="auto"/>
            </w:tcBorders>
          </w:tcPr>
          <w:p>
            <w:pPr>
              <w:jc w:val="center"/>
              <w:ind w:left="32"/>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1"/>
                <w:szCs w:val="11"/>
                <w:color w:val="auto"/>
              </w:rPr>
            </w:pP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Borders>
              <w:right w:val="single" w:sz="8" w:color="auto"/>
            </w:tcBorders>
          </w:tcPr>
          <w:p>
            <w:pPr>
              <w:jc w:val="center"/>
              <w:ind w:right="5"/>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0" w:type="dxa"/>
            <w:vAlign w:val="bottom"/>
            <w:tcBorders>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700" w:type="dxa"/>
            <w:vAlign w:val="bottom"/>
            <w:tcBorders>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gridSpan w:val="2"/>
          </w:tcPr>
          <w:p>
            <w:pPr>
              <w:jc w:val="center"/>
              <w:ind w:right="740"/>
              <w:spacing w:after="0"/>
              <w:rPr>
                <w:sz w:val="20"/>
                <w:szCs w:val="20"/>
                <w:color w:val="auto"/>
              </w:rPr>
            </w:pPr>
            <w:r>
              <w:rPr>
                <w:rFonts w:ascii="Times New Roman" w:cs="Times New Roman" w:eastAsia="Times New Roman" w:hAnsi="Times New Roman"/>
                <w:sz w:val="13"/>
                <w:szCs w:val="13"/>
                <w:b w:val="1"/>
                <w:bCs w:val="1"/>
                <w:color w:val="auto"/>
                <w:w w:val="99"/>
              </w:rPr>
              <w:t>Title</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jc w:val="center"/>
              <w:ind w:left="32"/>
              <w:spacing w:after="0" w:line="169" w:lineRule="exact"/>
              <w:rPr>
                <w:sz w:val="20"/>
                <w:szCs w:val="20"/>
                <w:color w:val="auto"/>
              </w:rPr>
            </w:pPr>
            <w:r>
              <w:rPr>
                <w:rFonts w:ascii="Times New Roman" w:cs="Times New Roman" w:eastAsia="Times New Roman" w:hAnsi="Times New Roman"/>
                <w:sz w:val="13"/>
                <w:szCs w:val="13"/>
                <w:b w:val="1"/>
                <w:bCs w:val="1"/>
                <w:color w:val="auto"/>
                <w:w w:val="92"/>
              </w:rPr>
              <w:t>Registered</w:t>
            </w:r>
            <w:r>
              <w:rPr>
                <w:rFonts w:ascii="Times New Roman" w:cs="Times New Roman" w:eastAsia="Times New Roman" w:hAnsi="Times New Roman"/>
                <w:sz w:val="18"/>
                <w:szCs w:val="18"/>
                <w:b w:val="1"/>
                <w:bCs w:val="1"/>
                <w:color w:val="auto"/>
                <w:w w:val="92"/>
                <w:vertAlign w:val="superscript"/>
              </w:rPr>
              <w:t>(2)</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9"/>
              </w:rPr>
              <w:t>Unit</w:t>
            </w: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right w:val="single" w:sz="8" w:color="auto"/>
            </w:tcBorders>
            <w:gridSpan w:val="2"/>
          </w:tcPr>
          <w:p>
            <w:pPr>
              <w:jc w:val="center"/>
              <w:ind w:right="174"/>
              <w:spacing w:after="0"/>
              <w:rPr>
                <w:sz w:val="20"/>
                <w:szCs w:val="20"/>
                <w:color w:val="auto"/>
              </w:rPr>
            </w:pPr>
            <w:r>
              <w:rPr>
                <w:rFonts w:ascii="Times New Roman" w:cs="Times New Roman" w:eastAsia="Times New Roman" w:hAnsi="Times New Roman"/>
                <w:sz w:val="13"/>
                <w:szCs w:val="13"/>
                <w:b w:val="1"/>
                <w:bCs w:val="1"/>
                <w:color w:val="auto"/>
                <w:w w:val="94"/>
              </w:rPr>
              <w:t>Fee Rate</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center"/>
              <w:ind w:right="5"/>
              <w:spacing w:after="0"/>
              <w:rPr>
                <w:sz w:val="20"/>
                <w:szCs w:val="20"/>
                <w:color w:val="auto"/>
              </w:rPr>
            </w:pPr>
            <w:r>
              <w:rPr>
                <w:rFonts w:ascii="Times New Roman" w:cs="Times New Roman" w:eastAsia="Times New Roman" w:hAnsi="Times New Roman"/>
                <w:sz w:val="13"/>
                <w:szCs w:val="13"/>
                <w:b w:val="1"/>
                <w:bCs w:val="1"/>
                <w:color w:val="auto"/>
              </w:rPr>
              <w:t>Fee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80" w:type="dxa"/>
            <w:vAlign w:val="bottom"/>
            <w:tcBorders>
              <w:right w:val="single" w:sz="8" w:color="auto"/>
            </w:tcBorders>
          </w:tcPr>
          <w:p>
            <w:pPr>
              <w:spacing w:after="0"/>
              <w:rPr>
                <w:sz w:val="17"/>
                <w:szCs w:val="17"/>
                <w:color w:val="auto"/>
              </w:rPr>
            </w:pPr>
          </w:p>
        </w:tc>
        <w:tc>
          <w:tcPr>
            <w:tcW w:w="1220" w:type="dxa"/>
            <w:vAlign w:val="bottom"/>
            <w:gridSpan w:val="2"/>
          </w:tcPr>
          <w:p>
            <w:pPr>
              <w:jc w:val="center"/>
              <w:ind w:left="250"/>
              <w:spacing w:after="0" w:line="205" w:lineRule="exact"/>
              <w:rPr>
                <w:sz w:val="20"/>
                <w:szCs w:val="20"/>
                <w:color w:val="auto"/>
              </w:rPr>
            </w:pPr>
            <w:r>
              <w:rPr>
                <w:rFonts w:ascii="Times New Roman" w:cs="Times New Roman" w:eastAsia="Times New Roman" w:hAnsi="Times New Roman"/>
                <w:sz w:val="18"/>
                <w:szCs w:val="18"/>
                <w:color w:val="auto"/>
                <w:w w:val="99"/>
              </w:rPr>
              <w:t>Fees to Be</w:t>
            </w:r>
          </w:p>
        </w:tc>
        <w:tc>
          <w:tcPr>
            <w:tcW w:w="24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right w:val="single" w:sz="8" w:color="auto"/>
            </w:tcBorders>
            <w:gridSpan w:val="4"/>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Common Stock, $0.00001</w:t>
            </w:r>
          </w:p>
        </w:tc>
        <w:tc>
          <w:tcPr>
            <w:tcW w:w="1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0" w:type="dxa"/>
            <w:vAlign w:val="bottom"/>
            <w:tcBorders>
              <w:right w:val="single" w:sz="8" w:color="auto"/>
            </w:tcBorders>
          </w:tcPr>
          <w:p>
            <w:pPr>
              <w:spacing w:after="0"/>
              <w:rPr>
                <w:sz w:val="22"/>
                <w:szCs w:val="22"/>
                <w:color w:val="auto"/>
              </w:rPr>
            </w:pPr>
          </w:p>
        </w:tc>
        <w:tc>
          <w:tcPr>
            <w:tcW w:w="1220" w:type="dxa"/>
            <w:vAlign w:val="bottom"/>
            <w:tcBorders>
              <w:bottom w:val="single" w:sz="8" w:color="auto"/>
            </w:tcBorders>
            <w:gridSpan w:val="2"/>
          </w:tcPr>
          <w:p>
            <w:pPr>
              <w:jc w:val="center"/>
              <w:ind w:left="250"/>
              <w:spacing w:after="0"/>
              <w:rPr>
                <w:sz w:val="20"/>
                <w:szCs w:val="20"/>
                <w:color w:val="auto"/>
              </w:rPr>
            </w:pPr>
            <w:r>
              <w:rPr>
                <w:rFonts w:ascii="Times New Roman" w:cs="Times New Roman" w:eastAsia="Times New Roman" w:hAnsi="Times New Roman"/>
                <w:sz w:val="18"/>
                <w:szCs w:val="18"/>
                <w:color w:val="auto"/>
                <w:w w:val="99"/>
              </w:rPr>
              <w:t>Paid</w:t>
            </w:r>
          </w:p>
        </w:tc>
        <w:tc>
          <w:tcPr>
            <w:tcW w:w="24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jc w:val="center"/>
              <w:ind w:left="68"/>
              <w:spacing w:after="0"/>
              <w:rPr>
                <w:sz w:val="20"/>
                <w:szCs w:val="20"/>
                <w:color w:val="auto"/>
              </w:rPr>
            </w:pPr>
            <w:r>
              <w:rPr>
                <w:rFonts w:ascii="Times New Roman" w:cs="Times New Roman" w:eastAsia="Times New Roman" w:hAnsi="Times New Roman"/>
                <w:sz w:val="18"/>
                <w:szCs w:val="18"/>
                <w:color w:val="auto"/>
                <w:w w:val="99"/>
              </w:rPr>
              <w:t>Equity</w:t>
            </w:r>
          </w:p>
        </w:tc>
        <w:tc>
          <w:tcPr>
            <w:tcW w:w="120" w:type="dxa"/>
            <w:vAlign w:val="bottom"/>
            <w:tcBorders>
              <w:bottom w:val="single" w:sz="8" w:color="auto"/>
            </w:tcBorders>
          </w:tcPr>
          <w:p>
            <w:pPr>
              <w:spacing w:after="0"/>
              <w:rPr>
                <w:sz w:val="22"/>
                <w:szCs w:val="22"/>
                <w:color w:val="auto"/>
              </w:rPr>
            </w:pPr>
          </w:p>
        </w:tc>
        <w:tc>
          <w:tcPr>
            <w:tcW w:w="1960" w:type="dxa"/>
            <w:vAlign w:val="bottom"/>
            <w:tcBorders>
              <w:bottom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rPr>
              <w:t>par value per share</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457(o)</w:t>
            </w:r>
          </w:p>
        </w:tc>
        <w:tc>
          <w:tcPr>
            <w:tcW w:w="40" w:type="dxa"/>
            <w:vAlign w:val="bottom"/>
            <w:tcBorders>
              <w:bottom w:val="single" w:sz="8" w:color="auto"/>
            </w:tcBorders>
          </w:tcPr>
          <w:p>
            <w:pPr>
              <w:spacing w:after="0"/>
              <w:rPr>
                <w:sz w:val="22"/>
                <w:szCs w:val="22"/>
                <w:color w:val="auto"/>
              </w:rPr>
            </w:pPr>
          </w:p>
        </w:tc>
        <w:tc>
          <w:tcPr>
            <w:tcW w:w="820" w:type="dxa"/>
            <w:vAlign w:val="bottom"/>
            <w:tcBorders>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auto"/>
            </w:tcBorders>
          </w:tcPr>
          <w:p>
            <w:pPr>
              <w:spacing w:after="0"/>
              <w:rPr>
                <w:sz w:val="22"/>
                <w:szCs w:val="22"/>
                <w:color w:val="auto"/>
              </w:rPr>
            </w:pPr>
          </w:p>
        </w:tc>
        <w:tc>
          <w:tcPr>
            <w:tcW w:w="680" w:type="dxa"/>
            <w:vAlign w:val="bottom"/>
            <w:tcBorders>
              <w:bottom w:val="single" w:sz="8" w:color="auto"/>
              <w:right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180" w:type="dxa"/>
            <w:vAlign w:val="bottom"/>
            <w:tcBorders>
              <w:bottom w:val="single" w:sz="8" w:color="auto"/>
              <w:right w:val="single" w:sz="8" w:color="auto"/>
            </w:tcBorders>
            <w:gridSpan w:val="2"/>
          </w:tcPr>
          <w:p>
            <w:pPr>
              <w:jc w:val="center"/>
              <w:spacing w:after="0" w:line="261" w:lineRule="exact"/>
              <w:rPr>
                <w:sz w:val="20"/>
                <w:szCs w:val="20"/>
                <w:color w:val="auto"/>
              </w:rPr>
            </w:pPr>
            <w:r>
              <w:rPr>
                <w:rFonts w:ascii="Times New Roman" w:cs="Times New Roman" w:eastAsia="Times New Roman" w:hAnsi="Times New Roman"/>
                <w:sz w:val="18"/>
                <w:szCs w:val="18"/>
                <w:color w:val="auto"/>
                <w:w w:val="95"/>
              </w:rPr>
              <w:t>$150,000,000</w:t>
            </w:r>
            <w:r>
              <w:rPr>
                <w:rFonts w:ascii="Times New Roman" w:cs="Times New Roman" w:eastAsia="Times New Roman" w:hAnsi="Times New Roman"/>
                <w:sz w:val="26"/>
                <w:szCs w:val="26"/>
                <w:color w:val="auto"/>
                <w:w w:val="95"/>
                <w:vertAlign w:val="superscript"/>
              </w:rPr>
              <w:t>(3)</w:t>
            </w: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$110.20 per $1,000,000</w:t>
            </w: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$16,530</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6"/>
        </w:trPr>
        <w:tc>
          <w:tcPr>
            <w:tcW w:w="8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Total Offering Amounts</w:t>
            </w:r>
          </w:p>
        </w:tc>
        <w:tc>
          <w:tcPr>
            <w:tcW w:w="8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gridSpan w:val="2"/>
          </w:tcPr>
          <w:p>
            <w:pPr>
              <w:jc w:val="center"/>
              <w:spacing w:after="0" w:line="236" w:lineRule="exact"/>
              <w:rPr>
                <w:sz w:val="20"/>
                <w:szCs w:val="20"/>
                <w:color w:val="auto"/>
              </w:rPr>
            </w:pPr>
            <w:r>
              <w:rPr>
                <w:rFonts w:ascii="Times New Roman" w:cs="Times New Roman" w:eastAsia="Times New Roman" w:hAnsi="Times New Roman"/>
                <w:sz w:val="18"/>
                <w:szCs w:val="18"/>
                <w:color w:val="auto"/>
                <w:w w:val="95"/>
              </w:rPr>
              <w:t>$150,000,000</w:t>
            </w:r>
            <w:r>
              <w:rPr>
                <w:rFonts w:ascii="Times New Roman" w:cs="Times New Roman" w:eastAsia="Times New Roman" w:hAnsi="Times New Roman"/>
                <w:sz w:val="26"/>
                <w:szCs w:val="26"/>
                <w:color w:val="auto"/>
                <w:w w:val="95"/>
                <w:vertAlign w:val="superscript"/>
              </w:rPr>
              <w:t>(3)</w:t>
            </w: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$16,530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Total Fees Previously Paid</w:t>
            </w:r>
          </w:p>
        </w:tc>
        <w:tc>
          <w:tcPr>
            <w:tcW w:w="8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18"/>
              <w:spacing w:after="0"/>
              <w:rPr>
                <w:sz w:val="20"/>
                <w:szCs w:val="20"/>
                <w:color w:val="auto"/>
              </w:rPr>
            </w:pPr>
            <w:r>
              <w:rPr>
                <w:rFonts w:ascii="Times New Roman" w:cs="Times New Roman" w:eastAsia="Times New Roman" w:hAnsi="Times New Roman"/>
                <w:sz w:val="18"/>
                <w:szCs w:val="18"/>
                <w:b w:val="1"/>
                <w:bCs w:val="1"/>
                <w:color w:val="auto"/>
                <w:w w:val="97"/>
              </w:rPr>
              <w:t>Total Fee Offsets</w:t>
            </w: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line="238" w:lineRule="exact"/>
              <w:rPr>
                <w:sz w:val="20"/>
                <w:szCs w:val="20"/>
                <w:color w:val="auto"/>
              </w:rPr>
            </w:pPr>
            <w:r>
              <w:rPr>
                <w:rFonts w:ascii="Times New Roman" w:cs="Times New Roman" w:eastAsia="Times New Roman" w:hAnsi="Times New Roman"/>
                <w:sz w:val="18"/>
                <w:szCs w:val="18"/>
                <w:color w:val="auto"/>
                <w:w w:val="93"/>
              </w:rPr>
              <w:t>$16,530</w:t>
            </w:r>
            <w:r>
              <w:rPr>
                <w:rFonts w:ascii="Times New Roman" w:cs="Times New Roman" w:eastAsia="Times New Roman" w:hAnsi="Times New Roman"/>
                <w:sz w:val="26"/>
                <w:szCs w:val="26"/>
                <w:b w:val="1"/>
                <w:bCs w:val="1"/>
                <w:color w:val="auto"/>
                <w:w w:val="93"/>
                <w:vertAlign w:val="superscript"/>
              </w:rPr>
              <w:t>(4)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0" w:type="dxa"/>
            <w:vAlign w:val="bottom"/>
            <w:tcBorders>
              <w:right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6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20" w:type="dxa"/>
            <w:vAlign w:val="bottom"/>
            <w:gridSpan w:val="10"/>
          </w:tcPr>
          <w:p>
            <w:pPr>
              <w:ind w:left="960"/>
              <w:spacing w:after="0"/>
              <w:rPr>
                <w:sz w:val="20"/>
                <w:szCs w:val="20"/>
                <w:color w:val="auto"/>
              </w:rPr>
            </w:pPr>
            <w:r>
              <w:rPr>
                <w:rFonts w:ascii="Times New Roman" w:cs="Times New Roman" w:eastAsia="Times New Roman" w:hAnsi="Times New Roman"/>
                <w:sz w:val="18"/>
                <w:szCs w:val="18"/>
                <w:color w:val="auto"/>
                <w:w w:val="98"/>
              </w:rPr>
              <w:t>Table 2: Fee Offset Claims and Sources</w:t>
            </w: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80" w:type="dxa"/>
            <w:vAlign w:val="bottom"/>
            <w:tcBorders>
              <w:left w:val="single" w:sz="8" w:color="auto"/>
            </w:tcBorders>
          </w:tcPr>
          <w:p>
            <w:pPr>
              <w:spacing w:after="0"/>
              <w:rPr>
                <w:sz w:val="10"/>
                <w:szCs w:val="10"/>
                <w:color w:val="auto"/>
              </w:rPr>
            </w:pPr>
          </w:p>
        </w:tc>
        <w:tc>
          <w:tcPr>
            <w:tcW w:w="86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Unsold</w:t>
            </w:r>
          </w:p>
        </w:tc>
        <w:tc>
          <w:tcPr>
            <w:tcW w:w="7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Unsold</w:t>
            </w:r>
          </w:p>
        </w:tc>
        <w:tc>
          <w:tcPr>
            <w:tcW w:w="106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vMerge w:val="restart"/>
          </w:tcPr>
          <w:p>
            <w:pPr>
              <w:jc w:val="center"/>
              <w:ind w:left="142"/>
              <w:spacing w:after="0"/>
              <w:rPr>
                <w:sz w:val="20"/>
                <w:szCs w:val="20"/>
                <w:color w:val="auto"/>
              </w:rPr>
            </w:pPr>
            <w:r>
              <w:rPr>
                <w:rFonts w:ascii="Times New Roman" w:cs="Times New Roman" w:eastAsia="Times New Roman" w:hAnsi="Times New Roman"/>
                <w:sz w:val="13"/>
                <w:szCs w:val="13"/>
                <w:b w:val="1"/>
                <w:bCs w:val="1"/>
                <w:color w:val="auto"/>
                <w:w w:val="96"/>
              </w:rPr>
              <w:t>Form</w:t>
            </w:r>
          </w:p>
        </w:tc>
        <w:tc>
          <w:tcPr>
            <w:tcW w:w="20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Type</w:t>
            </w: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6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7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0" w:type="dxa"/>
            <w:vAlign w:val="bottom"/>
            <w:tcBorders>
              <w:lef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60" w:type="dxa"/>
            <w:vAlign w:val="bottom"/>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Associated</w:t>
            </w:r>
          </w:p>
        </w:tc>
        <w:tc>
          <w:tcPr>
            <w:tcW w:w="960" w:type="dxa"/>
            <w:vAlign w:val="bottom"/>
            <w:tcBorders>
              <w:right w:val="single" w:sz="8" w:color="auto"/>
            </w:tcBorders>
            <w:gridSpan w:val="3"/>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Security Title</w:t>
            </w:r>
          </w:p>
        </w:tc>
        <w:tc>
          <w:tcPr>
            <w:tcW w:w="66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Associated</w:t>
            </w:r>
          </w:p>
        </w:tc>
        <w:tc>
          <w:tcPr>
            <w:tcW w:w="1060" w:type="dxa"/>
            <w:vAlign w:val="bottom"/>
            <w:tcBorders>
              <w:right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60" w:type="dxa"/>
            <w:vAlign w:val="bottom"/>
            <w:tcBorders>
              <w:right w:val="single" w:sz="8" w:color="auto"/>
            </w:tcBorders>
            <w:gridSpan w:val="2"/>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Fee Paid</w:t>
            </w: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Borders>
              <w:right w:val="single" w:sz="8" w:color="auto"/>
            </w:tcBorders>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Registrant</w:t>
            </w:r>
          </w:p>
        </w:tc>
        <w:tc>
          <w:tcPr>
            <w:tcW w:w="560" w:type="dxa"/>
            <w:vAlign w:val="bottom"/>
          </w:tcPr>
          <w:p>
            <w:pPr>
              <w:jc w:val="center"/>
              <w:ind w:left="142"/>
              <w:spacing w:after="0" w:line="135" w:lineRule="exact"/>
              <w:rPr>
                <w:sz w:val="20"/>
                <w:szCs w:val="20"/>
                <w:color w:val="auto"/>
              </w:rPr>
            </w:pPr>
            <w:r>
              <w:rPr>
                <w:rFonts w:ascii="Times New Roman" w:cs="Times New Roman" w:eastAsia="Times New Roman" w:hAnsi="Times New Roman"/>
                <w:sz w:val="13"/>
                <w:szCs w:val="13"/>
                <w:b w:val="1"/>
                <w:bCs w:val="1"/>
                <w:color w:val="auto"/>
                <w:w w:val="81"/>
              </w:rPr>
              <w:t>or</w:t>
            </w:r>
          </w:p>
        </w:tc>
        <w:tc>
          <w:tcPr>
            <w:tcW w:w="20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Initial</w:t>
            </w:r>
          </w:p>
        </w:tc>
        <w:tc>
          <w:tcPr>
            <w:tcW w:w="82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960" w:type="dxa"/>
            <w:vAlign w:val="bottom"/>
            <w:tcBorders>
              <w:right w:val="single" w:sz="8" w:color="auto"/>
            </w:tcBorders>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Associated with</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106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Associated with</w:t>
            </w:r>
          </w:p>
        </w:tc>
        <w:tc>
          <w:tcPr>
            <w:tcW w:w="86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with Fee</w:t>
            </w: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86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Borders>
              <w:right w:val="single" w:sz="8" w:color="auto"/>
            </w:tcBorders>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or Filer</w:t>
            </w:r>
          </w:p>
        </w:tc>
        <w:tc>
          <w:tcPr>
            <w:tcW w:w="560" w:type="dxa"/>
            <w:vAlign w:val="bottom"/>
          </w:tcPr>
          <w:p>
            <w:pPr>
              <w:jc w:val="center"/>
              <w:ind w:left="142"/>
              <w:spacing w:after="0" w:line="135" w:lineRule="exact"/>
              <w:rPr>
                <w:sz w:val="20"/>
                <w:szCs w:val="20"/>
                <w:color w:val="auto"/>
              </w:rPr>
            </w:pPr>
            <w:r>
              <w:rPr>
                <w:rFonts w:ascii="Times New Roman" w:cs="Times New Roman" w:eastAsia="Times New Roman" w:hAnsi="Times New Roman"/>
                <w:sz w:val="13"/>
                <w:szCs w:val="13"/>
                <w:b w:val="1"/>
                <w:bCs w:val="1"/>
                <w:color w:val="auto"/>
                <w:w w:val="92"/>
              </w:rPr>
              <w:t>Filing</w:t>
            </w:r>
          </w:p>
        </w:tc>
        <w:tc>
          <w:tcPr>
            <w:tcW w:w="200" w:type="dxa"/>
            <w:vAlign w:val="bottom"/>
            <w:tcBorders>
              <w:right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Borders>
              <w:right w:val="single" w:sz="8" w:color="auto"/>
            </w:tcBorders>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2"/>
              </w:rPr>
              <w:t>Filing</w:t>
            </w:r>
          </w:p>
        </w:tc>
        <w:tc>
          <w:tcPr>
            <w:tcW w:w="90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Filing</w:t>
            </w:r>
          </w:p>
        </w:tc>
        <w:tc>
          <w:tcPr>
            <w:tcW w:w="80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Fee Offset</w:t>
            </w:r>
          </w:p>
        </w:tc>
        <w:tc>
          <w:tcPr>
            <w:tcW w:w="40" w:type="dxa"/>
            <w:vAlign w:val="bottom"/>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960" w:type="dxa"/>
            <w:vAlign w:val="bottom"/>
            <w:tcBorders>
              <w:right w:val="single" w:sz="8" w:color="auto"/>
            </w:tcBorders>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Fee Offset</w:t>
            </w:r>
          </w:p>
        </w:tc>
        <w:tc>
          <w:tcPr>
            <w:tcW w:w="6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1060" w:type="dxa"/>
            <w:vAlign w:val="bottom"/>
            <w:tcBorders>
              <w:right w:val="single" w:sz="8" w:color="auto"/>
            </w:tcBorders>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Fee Offset</w:t>
            </w:r>
          </w:p>
        </w:tc>
        <w:tc>
          <w:tcPr>
            <w:tcW w:w="860" w:type="dxa"/>
            <w:vAlign w:val="bottom"/>
            <w:tcBorders>
              <w:right w:val="single" w:sz="8" w:color="auto"/>
            </w:tcBorders>
            <w:gridSpan w:val="2"/>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Offset</w:t>
            </w:r>
          </w:p>
        </w:tc>
        <w:tc>
          <w:tcPr>
            <w:tcW w:w="0" w:type="dxa"/>
            <w:vAlign w:val="bottom"/>
          </w:tcPr>
          <w:p>
            <w:pPr>
              <w:spacing w:after="0"/>
              <w:rPr>
                <w:sz w:val="1"/>
                <w:szCs w:val="1"/>
                <w:color w:val="auto"/>
              </w:rPr>
            </w:pPr>
          </w:p>
        </w:tc>
      </w:tr>
      <w:tr>
        <w:trPr>
          <w:trHeight w:val="174"/>
        </w:trPr>
        <w:tc>
          <w:tcPr>
            <w:tcW w:w="80" w:type="dxa"/>
            <w:vAlign w:val="bottom"/>
            <w:tcBorders>
              <w:left w:val="single" w:sz="8" w:color="auto"/>
              <w:bottom w:val="single" w:sz="8" w:color="auto"/>
            </w:tcBorders>
          </w:tcPr>
          <w:p>
            <w:pPr>
              <w:spacing w:after="0"/>
              <w:rPr>
                <w:sz w:val="15"/>
                <w:szCs w:val="15"/>
                <w:color w:val="auto"/>
              </w:rPr>
            </w:pPr>
          </w:p>
        </w:tc>
        <w:tc>
          <w:tcPr>
            <w:tcW w:w="860" w:type="dxa"/>
            <w:vAlign w:val="bottom"/>
            <w:tcBorders>
              <w:bottom w:val="single" w:sz="8" w:color="auto"/>
              <w:right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56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20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8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40" w:type="dxa"/>
            <w:vAlign w:val="bottom"/>
            <w:tcBorders>
              <w:bottom w:val="single" w:sz="8" w:color="auto"/>
            </w:tcBorders>
          </w:tcPr>
          <w:p>
            <w:pPr>
              <w:spacing w:after="0"/>
              <w:rPr>
                <w:sz w:val="15"/>
                <w:szCs w:val="15"/>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Claimed</w:t>
            </w:r>
          </w:p>
        </w:tc>
        <w:tc>
          <w:tcPr>
            <w:tcW w:w="740" w:type="dxa"/>
            <w:vAlign w:val="bottom"/>
            <w:tcBorders>
              <w:bottom w:val="single" w:sz="8" w:color="auto"/>
            </w:tcBorders>
            <w:gridSpan w:val="2"/>
          </w:tcPr>
          <w:p>
            <w:pPr>
              <w:jc w:val="center"/>
              <w:ind w:left="185"/>
              <w:spacing w:after="0"/>
              <w:rPr>
                <w:sz w:val="20"/>
                <w:szCs w:val="20"/>
                <w:color w:val="auto"/>
              </w:rPr>
            </w:pPr>
            <w:r>
              <w:rPr>
                <w:rFonts w:ascii="Times New Roman" w:cs="Times New Roman" w:eastAsia="Times New Roman" w:hAnsi="Times New Roman"/>
                <w:sz w:val="13"/>
                <w:szCs w:val="13"/>
                <w:b w:val="1"/>
                <w:bCs w:val="1"/>
                <w:color w:val="auto"/>
                <w:w w:val="93"/>
              </w:rPr>
              <w:t>Claimed</w:t>
            </w:r>
          </w:p>
        </w:tc>
        <w:tc>
          <w:tcPr>
            <w:tcW w:w="220" w:type="dxa"/>
            <w:vAlign w:val="bottom"/>
            <w:tcBorders>
              <w:bottom w:val="single" w:sz="8" w:color="auto"/>
              <w:right w:val="single" w:sz="8" w:color="auto"/>
            </w:tcBorders>
          </w:tcPr>
          <w:p>
            <w:pPr>
              <w:spacing w:after="0"/>
              <w:rPr>
                <w:sz w:val="15"/>
                <w:szCs w:val="15"/>
                <w:color w:val="auto"/>
              </w:rPr>
            </w:pPr>
          </w:p>
        </w:tc>
        <w:tc>
          <w:tcPr>
            <w:tcW w:w="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Claimed</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Claimed</w:t>
            </w:r>
          </w:p>
        </w:tc>
        <w:tc>
          <w:tcPr>
            <w:tcW w:w="86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3"/>
              </w:rPr>
              <w:t>Source</w:t>
            </w:r>
          </w:p>
        </w:tc>
        <w:tc>
          <w:tcPr>
            <w:tcW w:w="0" w:type="dxa"/>
            <w:vAlign w:val="bottom"/>
          </w:tcPr>
          <w:p>
            <w:pPr>
              <w:spacing w:after="0"/>
              <w:rPr>
                <w:sz w:val="1"/>
                <w:szCs w:val="1"/>
                <w:color w:val="auto"/>
              </w:rPr>
            </w:pPr>
          </w:p>
        </w:tc>
      </w:tr>
      <w:tr>
        <w:trPr>
          <w:trHeight w:val="235"/>
        </w:trPr>
        <w:tc>
          <w:tcPr>
            <w:tcW w:w="80" w:type="dxa"/>
            <w:vAlign w:val="bottom"/>
            <w:tcBorders>
              <w:left w:val="single" w:sz="8" w:color="auto"/>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Rule 457(p)</w:t>
            </w:r>
          </w:p>
        </w:tc>
        <w:tc>
          <w:tcPr>
            <w:tcW w:w="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0" w:type="dxa"/>
            <w:vAlign w:val="bottom"/>
            <w:tcBorders>
              <w:left w:val="single" w:sz="8" w:color="auto"/>
            </w:tcBorders>
          </w:tcPr>
          <w:p>
            <w:pPr>
              <w:spacing w:after="0"/>
              <w:rPr>
                <w:sz w:val="18"/>
                <w:szCs w:val="18"/>
                <w:color w:val="auto"/>
              </w:rPr>
            </w:pPr>
          </w:p>
        </w:tc>
        <w:tc>
          <w:tcPr>
            <w:tcW w:w="8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Fee Offset</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660" w:type="dxa"/>
            <w:vAlign w:val="bottom"/>
            <w:tcBorders>
              <w:right w:val="single" w:sz="8" w:color="auto"/>
            </w:tcBorders>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860" w:type="dxa"/>
            <w:vAlign w:val="bottom"/>
            <w:tcBorders>
              <w:right w:val="single" w:sz="8" w:color="auto"/>
            </w:tcBorders>
            <w:vMerge w:val="continue"/>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gridSpan w:val="3"/>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Shares,</w:t>
            </w:r>
          </w:p>
        </w:tc>
        <w:tc>
          <w:tcPr>
            <w:tcW w:w="66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Claims</w:t>
            </w:r>
          </w:p>
        </w:tc>
        <w:tc>
          <w:tcPr>
            <w:tcW w:w="1420" w:type="dxa"/>
            <w:vAlign w:val="bottom"/>
            <w:tcBorders>
              <w:bottom w:val="single" w:sz="8" w:color="auto"/>
              <w:right w:val="single" w:sz="8" w:color="auto"/>
            </w:tcBorders>
            <w:gridSpan w:val="4"/>
          </w:tcPr>
          <w:p>
            <w:pPr>
              <w:jc w:val="center"/>
              <w:spacing w:after="0" w:line="261" w:lineRule="exact"/>
              <w:rPr>
                <w:sz w:val="20"/>
                <w:szCs w:val="20"/>
                <w:color w:val="auto"/>
              </w:rPr>
            </w:pPr>
            <w:r>
              <w:rPr>
                <w:rFonts w:ascii="Times New Roman" w:cs="Times New Roman" w:eastAsia="Times New Roman" w:hAnsi="Times New Roman"/>
                <w:sz w:val="18"/>
                <w:szCs w:val="18"/>
                <w:color w:val="auto"/>
                <w:w w:val="96"/>
              </w:rPr>
              <w:t>Zymeworks Inc.</w:t>
            </w:r>
            <w:r>
              <w:rPr>
                <w:rFonts w:ascii="Times New Roman" w:cs="Times New Roman" w:eastAsia="Times New Roman" w:hAnsi="Times New Roman"/>
                <w:sz w:val="26"/>
                <w:szCs w:val="26"/>
                <w:color w:val="auto"/>
                <w:w w:val="96"/>
                <w:vertAlign w:val="superscript"/>
              </w:rPr>
              <w:t>(5)</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424(b)(5)</w:t>
            </w:r>
          </w:p>
        </w:tc>
        <w:tc>
          <w:tcPr>
            <w:tcW w:w="12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333-259970-01</w:t>
            </w:r>
          </w:p>
        </w:tc>
        <w:tc>
          <w:tcPr>
            <w:tcW w:w="88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10/21/2022</w:t>
            </w:r>
          </w:p>
        </w:tc>
        <w:tc>
          <w:tcPr>
            <w:tcW w:w="820" w:type="dxa"/>
            <w:vAlign w:val="bottom"/>
            <w:tcBorders>
              <w:bottom w:val="single" w:sz="8" w:color="auto"/>
            </w:tcBorders>
          </w:tcPr>
          <w:p>
            <w:pPr>
              <w:spacing w:after="0"/>
              <w:rPr>
                <w:sz w:val="22"/>
                <w:szCs w:val="22"/>
                <w:color w:val="auto"/>
              </w:rPr>
            </w:pPr>
          </w:p>
        </w:tc>
        <w:tc>
          <w:tcPr>
            <w:tcW w:w="80" w:type="dxa"/>
            <w:vAlign w:val="bottom"/>
            <w:tcBorders>
              <w:bottom w:val="single" w:sz="8" w:color="auto"/>
              <w:right w:val="single" w:sz="8" w:color="auto"/>
            </w:tcBorders>
          </w:tcPr>
          <w:p>
            <w:pPr>
              <w:spacing w:after="0"/>
              <w:rPr>
                <w:sz w:val="22"/>
                <w:szCs w:val="22"/>
                <w:color w:val="auto"/>
              </w:rPr>
            </w:pPr>
          </w:p>
        </w:tc>
        <w:tc>
          <w:tcPr>
            <w:tcW w:w="800" w:type="dxa"/>
            <w:vAlign w:val="bottom"/>
            <w:tcBorders>
              <w:bottom w:val="single" w:sz="8" w:color="auto"/>
              <w:right w:val="single" w:sz="8" w:color="auto"/>
            </w:tcBorders>
            <w:gridSpan w:val="2"/>
          </w:tcPr>
          <w:p>
            <w:pPr>
              <w:jc w:val="center"/>
              <w:spacing w:after="0" w:line="261" w:lineRule="exact"/>
              <w:rPr>
                <w:sz w:val="20"/>
                <w:szCs w:val="20"/>
                <w:color w:val="auto"/>
              </w:rPr>
            </w:pPr>
            <w:r>
              <w:rPr>
                <w:rFonts w:ascii="Times New Roman" w:cs="Times New Roman" w:eastAsia="Times New Roman" w:hAnsi="Times New Roman"/>
                <w:sz w:val="18"/>
                <w:szCs w:val="18"/>
                <w:color w:val="auto"/>
                <w:w w:val="93"/>
              </w:rPr>
              <w:t>$16,530</w:t>
            </w:r>
            <w:r>
              <w:rPr>
                <w:rFonts w:ascii="Times New Roman" w:cs="Times New Roman" w:eastAsia="Times New Roman" w:hAnsi="Times New Roman"/>
                <w:sz w:val="26"/>
                <w:szCs w:val="26"/>
                <w:color w:val="auto"/>
                <w:w w:val="93"/>
                <w:vertAlign w:val="superscript"/>
              </w:rPr>
              <w:t>(4)</w:t>
            </w: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96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no par value</w:t>
            </w:r>
          </w:p>
        </w:tc>
        <w:tc>
          <w:tcPr>
            <w:tcW w:w="660" w:type="dxa"/>
            <w:vAlign w:val="bottom"/>
            <w:tcBorders>
              <w:bottom w:val="single" w:sz="8" w:color="auto"/>
              <w:right w:val="single" w:sz="8" w:color="auto"/>
            </w:tcBorders>
          </w:tcPr>
          <w:p>
            <w:pPr>
              <w:jc w:val="center"/>
              <w:spacing w:after="0" w:line="261"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2"/>
                <w:szCs w:val="12"/>
                <w:color w:val="auto"/>
              </w:rPr>
              <w:t xml:space="preserve"> (4)</w:t>
            </w: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$150,000,000</w:t>
            </w:r>
          </w:p>
        </w:tc>
        <w:tc>
          <w:tcPr>
            <w:tcW w:w="760" w:type="dxa"/>
            <w:vAlign w:val="bottom"/>
            <w:tcBorders>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80" w:type="dxa"/>
            <w:vAlign w:val="bottom"/>
            <w:tcBorders>
              <w:left w:val="single" w:sz="8" w:color="auto"/>
            </w:tcBorders>
          </w:tcPr>
          <w:p>
            <w:pPr>
              <w:spacing w:after="0"/>
              <w:rPr>
                <w:sz w:val="17"/>
                <w:szCs w:val="17"/>
                <w:color w:val="auto"/>
              </w:rPr>
            </w:pPr>
          </w:p>
        </w:tc>
        <w:tc>
          <w:tcPr>
            <w:tcW w:w="86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7"/>
              </w:rPr>
              <w:t>Fee Offset</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Borders>
              <w:right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80" w:type="dxa"/>
            <w:vAlign w:val="bottom"/>
            <w:tcBorders>
              <w:left w:val="single" w:sz="8" w:color="auto"/>
              <w:bottom w:val="single" w:sz="8" w:color="auto"/>
            </w:tcBorders>
          </w:tcPr>
          <w:p>
            <w:pPr>
              <w:spacing w:after="0"/>
              <w:rPr>
                <w:sz w:val="22"/>
                <w:szCs w:val="22"/>
                <w:color w:val="auto"/>
              </w:rPr>
            </w:pPr>
          </w:p>
        </w:tc>
        <w:tc>
          <w:tcPr>
            <w:tcW w:w="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Sources</w:t>
            </w:r>
          </w:p>
        </w:tc>
        <w:tc>
          <w:tcPr>
            <w:tcW w:w="1420" w:type="dxa"/>
            <w:vAlign w:val="bottom"/>
            <w:tcBorders>
              <w:bottom w:val="single" w:sz="8" w:color="auto"/>
              <w:right w:val="single" w:sz="8" w:color="auto"/>
            </w:tcBorders>
            <w:gridSpan w:val="4"/>
          </w:tcPr>
          <w:p>
            <w:pPr>
              <w:jc w:val="center"/>
              <w:spacing w:after="0" w:line="261" w:lineRule="exact"/>
              <w:rPr>
                <w:sz w:val="20"/>
                <w:szCs w:val="20"/>
                <w:color w:val="auto"/>
              </w:rPr>
            </w:pPr>
            <w:r>
              <w:rPr>
                <w:rFonts w:ascii="Times New Roman" w:cs="Times New Roman" w:eastAsia="Times New Roman" w:hAnsi="Times New Roman"/>
                <w:sz w:val="18"/>
                <w:szCs w:val="18"/>
                <w:color w:val="auto"/>
                <w:w w:val="96"/>
              </w:rPr>
              <w:t>Zymeworks Inc.</w:t>
            </w:r>
            <w:r>
              <w:rPr>
                <w:rFonts w:ascii="Times New Roman" w:cs="Times New Roman" w:eastAsia="Times New Roman" w:hAnsi="Times New Roman"/>
                <w:sz w:val="26"/>
                <w:szCs w:val="26"/>
                <w:color w:val="auto"/>
                <w:w w:val="96"/>
                <w:vertAlign w:val="superscript"/>
              </w:rPr>
              <w:t>(5)</w:t>
            </w:r>
          </w:p>
        </w:tc>
        <w:tc>
          <w:tcPr>
            <w:tcW w:w="76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424(b)(5)</w:t>
            </w:r>
          </w:p>
        </w:tc>
        <w:tc>
          <w:tcPr>
            <w:tcW w:w="12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333-259970-01</w:t>
            </w: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90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10/21/2022</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right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0" w:type="dxa"/>
            <w:vAlign w:val="bottom"/>
            <w:tcBorders>
              <w:bottom w:val="single" w:sz="8" w:color="auto"/>
              <w:right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20" w:type="dxa"/>
            <w:vAlign w:val="bottom"/>
            <w:tcBorders>
              <w:bottom w:val="single" w:sz="8" w:color="auto"/>
              <w:right w:val="single" w:sz="8" w:color="auto"/>
            </w:tcBorders>
          </w:tcPr>
          <w:p>
            <w:pPr>
              <w:spacing w:after="0"/>
              <w:rPr>
                <w:sz w:val="22"/>
                <w:szCs w:val="22"/>
                <w:color w:val="auto"/>
              </w:rPr>
            </w:pPr>
          </w:p>
        </w:tc>
        <w:tc>
          <w:tcPr>
            <w:tcW w:w="660" w:type="dxa"/>
            <w:vAlign w:val="bottom"/>
            <w:tcBorders>
              <w:bottom w:val="single" w:sz="8" w:color="auto"/>
              <w:right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80" w:type="dxa"/>
            <w:vAlign w:val="bottom"/>
            <w:tcBorders>
              <w:bottom w:val="single" w:sz="8" w:color="auto"/>
              <w:right w:val="single" w:sz="8" w:color="auto"/>
            </w:tcBorders>
          </w:tcPr>
          <w:p>
            <w:pPr>
              <w:spacing w:after="0"/>
              <w:rPr>
                <w:sz w:val="22"/>
                <w:szCs w:val="22"/>
                <w:color w:val="auto"/>
              </w:rPr>
            </w:pPr>
          </w:p>
        </w:tc>
        <w:tc>
          <w:tcPr>
            <w:tcW w:w="860" w:type="dxa"/>
            <w:vAlign w:val="bottom"/>
            <w:tcBorders>
              <w:bottom w:val="single" w:sz="8" w:color="auto"/>
              <w:right w:val="single" w:sz="8" w:color="auto"/>
            </w:tcBorders>
            <w:gridSpan w:val="2"/>
          </w:tcPr>
          <w:p>
            <w:pPr>
              <w:jc w:val="center"/>
              <w:spacing w:after="0" w:line="261" w:lineRule="exact"/>
              <w:rPr>
                <w:sz w:val="20"/>
                <w:szCs w:val="20"/>
                <w:color w:val="auto"/>
              </w:rPr>
            </w:pPr>
            <w:r>
              <w:rPr>
                <w:rFonts w:ascii="Times New Roman" w:cs="Times New Roman" w:eastAsia="Times New Roman" w:hAnsi="Times New Roman"/>
                <w:sz w:val="18"/>
                <w:szCs w:val="18"/>
                <w:color w:val="auto"/>
                <w:w w:val="93"/>
              </w:rPr>
              <w:t>$16,530</w:t>
            </w:r>
            <w:r>
              <w:rPr>
                <w:rFonts w:ascii="Times New Roman" w:cs="Times New Roman" w:eastAsia="Times New Roman" w:hAnsi="Times New Roman"/>
                <w:sz w:val="26"/>
                <w:szCs w:val="26"/>
                <w:color w:val="auto"/>
                <w:w w:val="93"/>
                <w:vertAlign w:val="superscript"/>
              </w:rPr>
              <w:t>(4)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right="420" w:hanging="424"/>
        <w:spacing w:after="0" w:line="261"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13, 2022, the registrant completed a series of transactions, including a redomicile (the “Redomicile Transactions”). Following the closing of the Redomicile Transactions, the registrant became the successor issuer to Zymeworks BC Inc. (“Legacy Zymeworks”) pursuant to</w:t>
      </w:r>
    </w:p>
    <w:p>
      <w:pPr>
        <w:ind w:left="424" w:right="2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13g-3(a) under the Securities Exchange Act of 1934, as amended. On October 13, 2022, the registrant filed Post-Effective Amendment No. 1 to Form S-3 assuming the Registration Statement on Form S-3 (File No. 333-259970) initially filed by Legacy Zymeworks on October 1, 2021 (the “Registration Statement”).</w:t>
      </w:r>
    </w:p>
    <w:p>
      <w:pPr>
        <w:spacing w:after="0" w:line="1" w:lineRule="exact"/>
        <w:rPr>
          <w:rFonts w:ascii="Times New Roman" w:cs="Times New Roman" w:eastAsia="Times New Roman" w:hAnsi="Times New Roman"/>
          <w:sz w:val="18"/>
          <w:szCs w:val="18"/>
          <w:color w:val="auto"/>
        </w:rPr>
      </w:pPr>
    </w:p>
    <w:p>
      <w:pPr>
        <w:ind w:left="424" w:right="460" w:hanging="424"/>
        <w:spacing w:after="0" w:line="265" w:lineRule="auto"/>
        <w:tabs>
          <w:tab w:leader="none" w:pos="42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under the Securities Act of 1933, as amended, or the Securities Act, there are also being registered an indeterminable number of additional shares as may be issued to prevent dilution resulting from stock splits, stock dividends or similar transactions.</w:t>
      </w:r>
    </w:p>
    <w:p>
      <w:pPr>
        <w:ind w:left="424" w:right="60" w:hanging="424"/>
        <w:spacing w:after="0" w:line="250"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 is calculated in accordance with Rule 457(o) under the Securities Act of 1933, as amended (the “Securities Act”), based on the proposed maximum aggregate offering price. In accordance with Rules 456(b) and 457(r) of the Securities Act, as amended, Legacy Zymeworks initially deferred payment of all the registration fee for Registration Statement No. 333-259970 filed by Legacy Zymeworks on October 1, 2021.</w:t>
      </w:r>
    </w:p>
    <w:p>
      <w:pPr>
        <w:spacing w:after="0" w:line="1"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previously registered the issuance of up to $150,000,000 shares of common stock pursuant to the Registration Statement in a prospectus supplement filed on October 21, 2022 (the “Prior Prospectus Supplement”). In connection with the filing of the Prior Prospectus Supplement, the registrant made a contemporaneous fee payment in the amount of $16,530. This fee payment was partially offset by $13,905 previously paid in connection with $150,000,000 of unsold securities under the Registration Statement pursuant to a prospectus supplement filed by Legacy Zymeworks on October 1, 2021 (the “2021 Prospectus Supplement”), which in turn was offset by $13,905 previously paid in connection with $48,749,940.67 of unsold securities under Legacy Zymeworks’ Registration Statement on Form S-3 (File No. 333-228782), initially filed with the Securities and Exchange Commission on December 13, 2018, and $79,769,456 of unsold securities under Legacy Zymeworks’ Registration Statement on Form F-10 (File No. 333-224623), initially filed with the Securities and Exchange Commission on May 3, 2018, respectively. The offering under the Prior Prospectus Supplement has been terminated. Pursuant to Rule 457(p) under the Securities Act, the registration fee of $16,530 that has already been paid with respect to the Prior Prospectus Supplement and remains unused is hereby offset against the registration fee due for this offering.</w:t>
      </w:r>
    </w:p>
    <w:p>
      <w:pPr>
        <w:spacing w:after="0" w:line="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closing of the Redomicile Transactions, Legacy Zymeworks changed its name to “Zymeworks BC Inc.”</w:t>
      </w:r>
    </w:p>
    <w:sectPr>
      <w:pgSz w:w="11900" w:h="16838" w:orient="portrait"/>
      <w:cols w:equalWidth="0" w:num="1">
        <w:col w:w="11064"/>
      </w:cols>
      <w:pgMar w:left="436" w:top="11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1)"/>
      <w:numFmt w:val="lowerRoman"/>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
      <w:numFmt w:val="bullet"/>
      <w:start w:val="1"/>
    </w:lvl>
  </w:abstractNum>
  <w:abstractNum w:abstractNumId="29">
    <w:nsid w:val="520EEDD1"/>
    <w:multiLevelType w:val="hybridMultilevel"/>
    <w:lvl w:ilvl="0">
      <w:lvlJc w:val="left"/>
      <w:lvlText w:val="•"/>
      <w:numFmt w:val="bullet"/>
      <w:start w:val="1"/>
    </w:lvl>
  </w:abstractNum>
  <w:abstractNum w:abstractNumId="30">
    <w:nsid w:val="374A3FE6"/>
    <w:multiLevelType w:val="hybridMultilevel"/>
    <w:lvl w:ilvl="0">
      <w:lvlJc w:val="left"/>
      <w:lvlText w:val="•"/>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abstractNum>
  <w:abstractNum w:abstractNumId="36">
    <w:nsid w:val="1CF10FD8"/>
    <w:multiLevelType w:val="hybridMultilevel"/>
    <w:lvl w:ilvl="0">
      <w:lvlJc w:val="left"/>
      <w:lvlText w:val="•"/>
      <w:numFmt w:val="bullet"/>
      <w:start w:val="1"/>
    </w:lvl>
  </w:abstractNum>
  <w:abstractNum w:abstractNumId="37">
    <w:nsid w:val="180115BE"/>
    <w:multiLevelType w:val="hybridMultilevel"/>
    <w:lvl w:ilvl="0">
      <w:lvlJc w:val="left"/>
      <w:lvlText w:val="•"/>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1)"/>
      <w:numFmt w:val="decimal"/>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1)"/>
      <w:numFmt w:val="lowerLetter"/>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
      <w:numFmt w:val="bullet"/>
      <w:start w:val="1"/>
    </w:lvl>
  </w:abstractNum>
  <w:abstractNum w:abstractNumId="54">
    <w:nsid w:val="1DBABF00"/>
    <w:multiLevelType w:val="hybridMultilevel"/>
    <w:lvl w:ilvl="0">
      <w:lvlJc w:val="left"/>
      <w:lvlText w:val="•"/>
      <w:numFmt w:val="bullet"/>
      <w:start w:val="1"/>
    </w:lvl>
  </w:abstractNum>
  <w:abstractNum w:abstractNumId="55">
    <w:nsid w:val="4AD084E9"/>
    <w:multiLevelType w:val="hybridMultilevel"/>
    <w:lvl w:ilvl="0">
      <w:lvlJc w:val="left"/>
      <w:lvlText w:val="(%1)"/>
      <w:numFmt w:val="decimal"/>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
      <w:numFmt w:val="bullet"/>
      <w:start w:val="1"/>
    </w:lvl>
  </w:abstractNum>
  <w:abstractNum w:abstractNumId="58">
    <w:nsid w:val="5DB70AE5"/>
    <w:multiLevelType w:val="hybridMultilevel"/>
    <w:lvl w:ilvl="0">
      <w:lvlJc w:val="left"/>
      <w:lvlText w:val="•"/>
      <w:numFmt w:val="bullet"/>
      <w:start w:val="1"/>
    </w:lvl>
  </w:abstractNum>
  <w:abstractNum w:abstractNumId="59">
    <w:nsid w:val="100F8FCA"/>
    <w:multiLevelType w:val="hybridMultilevel"/>
    <w:lvl w:ilvl="0">
      <w:lvlJc w:val="left"/>
      <w:lvlText w:val="•"/>
      <w:numFmt w:val="bullet"/>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
      <w:numFmt w:val="bullet"/>
      <w:start w:val="1"/>
    </w:lvl>
  </w:abstractNum>
  <w:abstractNum w:abstractNumId="62">
    <w:nsid w:val="5F5E7FD0"/>
    <w:multiLevelType w:val="hybridMultilevel"/>
    <w:lvl w:ilvl="0">
      <w:lvlJc w:val="left"/>
      <w:lvlText w:val="•"/>
      <w:numFmt w:val="bullet"/>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
      <w:numFmt w:val="bullet"/>
      <w:start w:val="1"/>
    </w:lvl>
  </w:abstractNum>
  <w:abstractNum w:abstractNumId="65">
    <w:nsid w:val="6B94764"/>
    <w:multiLevelType w:val="hybridMultilevel"/>
    <w:lvl w:ilvl="0">
      <w:lvlJc w:val="left"/>
      <w:lvlText w:val="•"/>
      <w:numFmt w:val="bullet"/>
      <w:start w:val="1"/>
    </w:lvl>
  </w:abstractNum>
  <w:abstractNum w:abstractNumId="66">
    <w:nsid w:val="42C296BD"/>
    <w:multiLevelType w:val="hybridMultilevel"/>
    <w:lvl w:ilvl="0">
      <w:lvlJc w:val="left"/>
      <w:lvlText w:val="•"/>
      <w:numFmt w:val="bullet"/>
      <w:start w:val="1"/>
    </w:lvl>
  </w:abstractNum>
  <w:abstractNum w:abstractNumId="67">
    <w:nsid w:val="168E121F"/>
    <w:multiLevelType w:val="hybridMultilevel"/>
    <w:lvl w:ilvl="0">
      <w:lvlJc w:val="left"/>
      <w:lvlText w:val="•"/>
      <w:numFmt w:val="bullet"/>
      <w:start w:val="1"/>
    </w:lvl>
  </w:abstractNum>
  <w:abstractNum w:abstractNumId="68">
    <w:nsid w:val="1EBA5D23"/>
    <w:multiLevelType w:val="hybridMultilevel"/>
    <w:lvl w:ilvl="0">
      <w:lvlJc w:val="left"/>
      <w:lvlText w:val="•"/>
      <w:numFmt w:val="bullet"/>
      <w:start w:val="1"/>
    </w:lvl>
  </w:abstractNum>
  <w:abstractNum w:abstractNumId="69">
    <w:nsid w:val="661E3F1E"/>
    <w:multiLevelType w:val="hybridMultilevel"/>
    <w:lvl w:ilvl="0">
      <w:lvlJc w:val="left"/>
      <w:lvlText w:val="•"/>
      <w:numFmt w:val="bullet"/>
      <w:start w:val="1"/>
    </w:lvl>
  </w:abstractNum>
  <w:abstractNum w:abstractNumId="70">
    <w:nsid w:val="5DC79EA8"/>
    <w:multiLevelType w:val="hybridMultilevel"/>
    <w:lvl w:ilvl="0">
      <w:lvlJc w:val="left"/>
      <w:lvlText w:val="•"/>
      <w:numFmt w:val="bullet"/>
      <w:start w:val="1"/>
    </w:lvl>
  </w:abstractNum>
  <w:abstractNum w:abstractNumId="71">
    <w:nsid w:val="540A471C"/>
    <w:multiLevelType w:val="hybridMultilevel"/>
    <w:lvl w:ilvl="0">
      <w:lvlJc w:val="left"/>
      <w:lvlText w:val="•"/>
      <w:numFmt w:val="bullet"/>
      <w:start w:val="1"/>
    </w:lvl>
  </w:abstractNum>
  <w:abstractNum w:abstractNumId="72">
    <w:nsid w:val="7BD3EE7B"/>
    <w:multiLevelType w:val="hybridMultilevel"/>
    <w:lvl w:ilvl="0">
      <w:lvlJc w:val="left"/>
      <w:lvlText w:val="•"/>
      <w:numFmt w:val="bullet"/>
      <w:start w:val="1"/>
    </w:lvl>
  </w:abstractNum>
  <w:abstractNum w:abstractNumId="73">
    <w:nsid w:val="51D9C564"/>
    <w:multiLevelType w:val="hybridMultilevel"/>
    <w:lvl w:ilvl="0">
      <w:lvlJc w:val="left"/>
      <w:lvlText w:val="•"/>
      <w:numFmt w:val="bullet"/>
      <w:start w:val="1"/>
    </w:lvl>
  </w:abstractNum>
  <w:abstractNum w:abstractNumId="74">
    <w:nsid w:val="613EFDC5"/>
    <w:multiLevelType w:val="hybridMultilevel"/>
    <w:lvl w:ilvl="0">
      <w:lvlJc w:val="left"/>
      <w:lvlText w:val="•"/>
      <w:numFmt w:val="bullet"/>
      <w:start w:val="1"/>
    </w:lvl>
  </w:abstractNum>
  <w:abstractNum w:abstractNumId="75">
    <w:nsid w:val="BF72B14"/>
    <w:multiLevelType w:val="hybridMultilevel"/>
    <w:lvl w:ilvl="0">
      <w:lvlJc w:val="left"/>
      <w:lvlText w:val="(%1)"/>
      <w:numFmt w:val="lowerLetter"/>
      <w:start w:val="1"/>
    </w:lvl>
  </w:abstractNum>
  <w:abstractNum w:abstractNumId="76">
    <w:nsid w:val="11447B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22" Type="http://schemas.openxmlformats.org/officeDocument/2006/relationships/image" Target="media/image92.png"/><Relationship Id="rId123" Type="http://schemas.openxmlformats.org/officeDocument/2006/relationships/image" Target="media/image93.jpeg"/><Relationship Id="rId124" Type="http://schemas.openxmlformats.org/officeDocument/2006/relationships/image" Target="media/image94.png"/><Relationship Id="rId125" Type="http://schemas.openxmlformats.org/officeDocument/2006/relationships/image" Target="media/image95.png"/><Relationship Id="rId126" Type="http://schemas.openxmlformats.org/officeDocument/2006/relationships/image" Target="media/image96.png"/><Relationship Id="rId127" Type="http://schemas.openxmlformats.org/officeDocument/2006/relationships/image" Target="media/image97.png"/><Relationship Id="rId128" Type="http://schemas.openxmlformats.org/officeDocument/2006/relationships/image" Target="media/image98.png"/><Relationship Id="rId129" Type="http://schemas.openxmlformats.org/officeDocument/2006/relationships/image" Target="media/image99.png"/><Relationship Id="rId130" Type="http://schemas.openxmlformats.org/officeDocument/2006/relationships/image" Target="media/image100.png"/><Relationship Id="rId131" Type="http://schemas.openxmlformats.org/officeDocument/2006/relationships/image" Target="media/image101.png"/><Relationship Id="rId13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68" Type="http://schemas.openxmlformats.org/officeDocument/2006/relationships/image" Target="media/image129.png"/><Relationship Id="rId169" Type="http://schemas.openxmlformats.org/officeDocument/2006/relationships/image" Target="media/image130.png"/><Relationship Id="rId170" Type="http://schemas.openxmlformats.org/officeDocument/2006/relationships/image" Target="media/image131.png"/><Relationship Id="rId171" Type="http://schemas.openxmlformats.org/officeDocument/2006/relationships/image" Target="media/image132.png"/><Relationship Id="rId172" Type="http://schemas.openxmlformats.org/officeDocument/2006/relationships/image" Target="media/image133.jpeg"/><Relationship Id="rId173"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jpeg"/><Relationship Id="rId176" Type="http://schemas.openxmlformats.org/officeDocument/2006/relationships/image" Target="media/image137.png"/><Relationship Id="rId177" Type="http://schemas.openxmlformats.org/officeDocument/2006/relationships/image" Target="media/image138.png"/><Relationship Id="rId24" Type="http://schemas.openxmlformats.org/officeDocument/2006/relationships/hyperlink" Target="http://www.sec.gov/ix?doc=/Archives/edgar/data/0001937653/000119312522264856/d399364d8k.htm" TargetMode="External"/><Relationship Id="rId25" Type="http://schemas.openxmlformats.org/officeDocument/2006/relationships/hyperlink" Target="http://www.sec.gov/ix?doc=/Archives/edgar/data/0001937653/000119312522261838/d351779d8k12b.htm" TargetMode="External"/><Relationship Id="rId34" Type="http://schemas.openxmlformats.org/officeDocument/2006/relationships/hyperlink" Target="http://www.sec.gov/ix?doc=/Archives/edgar/data/1937653/000119312522261838/d351779d8k12b.htm" TargetMode="External"/><Relationship Id="rId102" Type="http://schemas.openxmlformats.org/officeDocument/2006/relationships/hyperlink" Target="http://www.sec.gov/ix?doc=/Archives/edgar/data/0001403752/000140375222000005/zyme-20211231.htm" TargetMode="External"/><Relationship Id="rId103" Type="http://schemas.openxmlformats.org/officeDocument/2006/relationships/hyperlink" Target="http://www.sec.gov/ix?doc=/Archives/edgar/data/0001403752/000119312522136812/d357655d10ka.htm" TargetMode="External"/><Relationship Id="rId104" Type="http://schemas.openxmlformats.org/officeDocument/2006/relationships/hyperlink" Target="http://www.sec.gov/ix?doc=/Archives/edgar/data/0001403752/000140375222000013/zyme-20220331.htm" TargetMode="External"/><Relationship Id="rId105" Type="http://schemas.openxmlformats.org/officeDocument/2006/relationships/hyperlink" Target="http://www.sec.gov/ix?doc=/Archives/edgar/data/0001403752/000140375222000020/zyme-20220630.htm" TargetMode="External"/><Relationship Id="rId106" Type="http://schemas.openxmlformats.org/officeDocument/2006/relationships/hyperlink" Target="http://www.sec.gov/ix?doc=/Archives/edgar/data/1937653/000193765322000009/zyme-20220930.htm" TargetMode="External"/><Relationship Id="rId107" Type="http://schemas.openxmlformats.org/officeDocument/2006/relationships/hyperlink" Target="http://www.sec.gov/ix?doc=/Archives/edgar/data/0001403752/000119312522023393/d299342d8k.htm" TargetMode="External"/><Relationship Id="rId108" Type="http://schemas.openxmlformats.org/officeDocument/2006/relationships/hyperlink" Target="http://www.sec.gov/ix?doc=/Archives/edgar/data/0001403752/000119312522054448/d295460d8k.htm" TargetMode="External"/><Relationship Id="rId109" Type="http://schemas.openxmlformats.org/officeDocument/2006/relationships/hyperlink" Target="http://www.sec.gov/ix?doc=/Archives/edgar/data/0001403752/000119312522070589/d497055d8k.htm" TargetMode="External"/><Relationship Id="rId110" Type="http://schemas.openxmlformats.org/officeDocument/2006/relationships/hyperlink" Target="http://www.sec.gov/ix?doc=/Archives/edgar/data/0001403752/000119312522136837/d212111d8ka.htm" TargetMode="External"/><Relationship Id="rId111" Type="http://schemas.openxmlformats.org/officeDocument/2006/relationships/hyperlink" Target="http://www.sec.gov/ix?doc=/Archives/edgar/data/0001403752/000119312522236941/d322452d8k.htm" TargetMode="External"/><Relationship Id="rId112" Type="http://schemas.openxmlformats.org/officeDocument/2006/relationships/hyperlink" Target="http://www.sec.gov/ix?doc=/Archives/edgar/data/0001403752/000119312522241047/d354187d8k.htm" TargetMode="External"/><Relationship Id="rId113" Type="http://schemas.openxmlformats.org/officeDocument/2006/relationships/hyperlink" Target="http://www.sec.gov/ix?doc=/Archives/edgar/data/0001403752/000119312522249229/d754934d8k.htm" TargetMode="External"/><Relationship Id="rId114" Type="http://schemas.openxmlformats.org/officeDocument/2006/relationships/hyperlink" Target="http://www.sec.gov/ix?doc=/Archives/edgar/data/1403752/000119312522259757/d408269d8k.htm" TargetMode="External"/><Relationship Id="rId115" Type="http://schemas.openxmlformats.org/officeDocument/2006/relationships/hyperlink" Target="http://www.sec.gov/ix?doc=/Archives/edgar/data/1403752/000119312522261341/d394540d8k.htm" TargetMode="External"/><Relationship Id="rId116" Type="http://schemas.openxmlformats.org/officeDocument/2006/relationships/hyperlink" Target="http://www.sec.gov/ix?doc=/Archives/edgar/data/0001403752/000119312522264102/d390573d8k.htm" TargetMode="External"/><Relationship Id="rId117" Type="http://schemas.openxmlformats.org/officeDocument/2006/relationships/hyperlink" Target="http://www.sec.gov/ix?doc=/Archives/edgar/data/0001403752/000119312522264879/d375266d8k.htm" TargetMode="External"/><Relationship Id="rId118" Type="http://schemas.openxmlformats.org/officeDocument/2006/relationships/hyperlink" Target="http://www.sec.gov/ix?doc=/Archives/edgar/data/1403752/000119312522266764/d280634d8k.htm" TargetMode="External"/><Relationship Id="rId119" Type="http://schemas.openxmlformats.org/officeDocument/2006/relationships/hyperlink" Target="http://www.sec.gov/ix?doc=/Archives/edgar/data/0001937653/000119312522262243/d411205d8k.htm" TargetMode="External"/><Relationship Id="rId120" Type="http://schemas.openxmlformats.org/officeDocument/2006/relationships/hyperlink" Target="http://www.sec.gov/ix?doc=/Archives/edgar/data/0001937653/000119312522266760/d392866d8k.htm" TargetMode="External"/><Relationship Id="rId121" Type="http://schemas.openxmlformats.org/officeDocument/2006/relationships/hyperlink" Target="http://www.sec.gov/ix?doc=/Archives/edgar/data/0001937653/000119312522272531/d401904d8k.htm" TargetMode="External"/><Relationship Id="rId159" Type="http://schemas.openxmlformats.org/officeDocument/2006/relationships/hyperlink" Target="http://www.sec.gov/ix?doc=/Archives/edgar/data/1403752/000140375221000005/zyme-20201231.htm" TargetMode="External"/><Relationship Id="rId160" Type="http://schemas.openxmlformats.org/officeDocument/2006/relationships/hyperlink" Target="http://www.sec.gov/ix?doc=/Archives/edgar/data/1403752/000140375221000010/zyme-20210331.htm" TargetMode="External"/><Relationship Id="rId161" Type="http://schemas.openxmlformats.org/officeDocument/2006/relationships/hyperlink" Target="http://www.sec.gov/ix?doc=/Archives/edgar/data/1403752/000140375221000015/zyme-20210630.htm" TargetMode="External"/><Relationship Id="rId162" Type="http://schemas.openxmlformats.org/officeDocument/2006/relationships/hyperlink" Target="http://www.sec.gov/ix?doc=/Archives/edgar/data/1403752/000119312521121227/d31123d8k.htm" TargetMode="External"/><Relationship Id="rId163" Type="http://schemas.openxmlformats.org/officeDocument/2006/relationships/hyperlink" Target="http://www.sec.gov/ix?doc=/Archives/edgar/data/1403752/000119312521153262/d623070d8k.htm" TargetMode="External"/><Relationship Id="rId164" Type="http://schemas.openxmlformats.org/officeDocument/2006/relationships/hyperlink" Target="http://www.sec.gov/ix?doc=/Archives/edgar/data/1403752/000119312521165312/d127748d8ka.htm" TargetMode="External"/><Relationship Id="rId165" Type="http://schemas.openxmlformats.org/officeDocument/2006/relationships/hyperlink" Target="http://www.sec.gov/ix?doc=/Archives/edgar/data/1403752/000119312521275108/d195420d8k.htm" TargetMode="External"/><Relationship Id="rId166" Type="http://schemas.openxmlformats.org/officeDocument/2006/relationships/hyperlink" Target="http://www.sec.gov/Archives/edgar/data/1403752/000119312521091218/d101380ddef14a.htm" TargetMode="External"/><Relationship Id="rId167" Type="http://schemas.openxmlformats.org/officeDocument/2006/relationships/hyperlink" Target="http://www.sec.gov/Archives/edgar/data/1403752/000119312517134139/d34632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2022-11-10T05:54:57Z</dcterms:created>
  <dcterms:modified xsi:type="dcterms:W3CDTF">2022-11-10T05:54:57Z</dcterms:modified>
</cp:coreProperties>
</file>